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center"/>
        <w:tblW w:w="917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3925"/>
        <w:gridCol w:w="5245"/>
      </w:tblGrid>
      <w:tr>
        <w:tc>
          <w:tcPr>
            <w:tcW w:w="3925" w:type="dxa"/>
          </w:tcPr>
          <w:p>
            <w:pPr>
              <w:jc w:val="center"/>
              <w:rPr>
                <w:b/>
                <w:sz w:val="24"/>
              </w:rPr>
            </w:pPr>
            <w:r>
              <w:rPr>
                <w:b/>
                <w:sz w:val="12"/>
              </w:rPr>
              <mc:AlternateContent>
                <mc:Choice Requires="wps">
                  <w:drawing>
                    <wp:anchor distT="0" distB="0" distL="114300" distR="114300" simplePos="0" relativeHeight="11" behindDoc="0" locked="0" layoutInCell="1" hidden="0" allowOverlap="1">
                      <wp:simplePos x="0" y="0"/>
                      <wp:positionH relativeFrom="column">
                        <wp:posOffset>685800</wp:posOffset>
                      </wp:positionH>
                      <wp:positionV relativeFrom="paragraph">
                        <wp:posOffset>226059</wp:posOffset>
                      </wp:positionV>
                      <wp:extent cx="975360" cy="0"/>
                      <wp:effectExtent l="0" t="0" r="0" b="0"/>
                      <wp:wrapNone/>
                      <wp:docPr id="1" name="直线 1"/>
                      <wp:cNvGraphicFramePr>
                        <a:graphicFrameLocks noChangeAspect="0"/>
                      </wp:cNvGraphicFramePr>
                      <a:graphic>
                        <a:graphicData uri="http://schemas.microsoft.com/office/word/2010/wordprocessingShape">
                          <wps:wsp>
                            <wps:cNvSpPr/>
                            <wps:spPr>
                              <a:xfrm rot="0">
                                <a:off x="0" y="0"/>
                                <a:ext cx="975360" cy="0"/>
                              </a:xfrm>
                              <a:prstGeom prst="line"/>
                              <a:noFill/>
                              <a:ln w="6350" cmpd="sng" cap="flat">
                                <a:solidFill>
                                  <a:srgbClr val="000000"/>
                                </a:solidFill>
                                <a:prstDash val="solid"/>
                                <a:miter/>
                              </a:ln>
                            </wps:spPr>
                            <wps:bodyPr vert="horz" wrap="square" lIns="91440" tIns="45720" rIns="91440" bIns="45720" anchor="t" anchorCtr="0" upright="0">
                              <a:noAutofit/>
                            </wps:bodyPr>
                          </wps:wsp>
                        </a:graphicData>
                      </a:graphic>
                    </wp:anchor>
                  </w:drawing>
                </mc:Choice>
                <mc:Fallback>
                  <w:pict>
                    <v:line type="#_x0000_t20" id="直线 2" o:spid="_x0000_s2" from="54.0pt,17.8pt" to="130.8pt,17.8pt" filled="f" stroked="t" strokeweight="0.5pt" style="position:absolute;&#10;z-index:11;&#10;mso-position-horizontal:absolute;&#10;mso-position-vertical:absolute;&#10;mso-wrap-distance-top:-8.503937E-5pt;&#10;mso-wrap-distance-bottom:-8.503937E-5pt;">
                      <v:stroke color="#000000"/>
                    </v:line>
                  </w:pict>
                </mc:Fallback>
              </mc:AlternateContent>
            </w:r>
            <w:r>
              <w:rPr>
                <w:b/>
                <w:sz w:val="24"/>
              </w:rPr>
              <w:t>BỘ GIÁO DỤC VÀ ĐÀO TẠO</w:t>
            </w:r>
          </w:p>
        </w:tc>
        <w:tc>
          <w:tcPr>
            <w:tcW w:w="5245" w:type="dxa"/>
          </w:tcPr>
          <w:p>
            <w:pPr>
              <w:jc w:val="center"/>
              <w:rPr>
                <w:b/>
                <w:sz w:val="24"/>
              </w:rPr>
            </w:pPr>
            <w:r>
              <w:rPr>
                <w:b/>
                <w:sz w:val="24"/>
              </w:rPr>
              <w:t>CỘNG HÒA XÃ HỘI CHỦ NGHĨA VIỆT NAM</w:t>
            </w:r>
          </w:p>
          <w:p>
            <w:pPr>
              <w:jc w:val="center"/>
              <w:rPr>
                <w:b/>
              </w:rPr>
            </w:pPr>
            <w:r>
              <w:rPr>
                <w:b/>
              </w:rPr>
              <mc:AlternateContent>
                <mc:Choice Requires="wps">
                  <w:drawing>
                    <wp:anchor distT="0" distB="0" distL="114300" distR="114300" simplePos="0" relativeHeight="12" behindDoc="0" locked="0" layoutInCell="1" hidden="0" allowOverlap="1">
                      <wp:simplePos x="0" y="0"/>
                      <wp:positionH relativeFrom="column">
                        <wp:posOffset>496569</wp:posOffset>
                      </wp:positionH>
                      <wp:positionV relativeFrom="paragraph">
                        <wp:posOffset>250190</wp:posOffset>
                      </wp:positionV>
                      <wp:extent cx="2218055" cy="0"/>
                      <wp:effectExtent l="0" t="0" r="0" b="0"/>
                      <wp:wrapNone/>
                      <wp:docPr id="3" name="直线 3"/>
                      <wp:cNvGraphicFramePr>
                        <a:graphicFrameLocks noChangeAspect="0"/>
                      </wp:cNvGraphicFramePr>
                      <a:graphic>
                        <a:graphicData uri="http://schemas.microsoft.com/office/word/2010/wordprocessingShape">
                          <wps:wsp>
                            <wps:cNvSpPr/>
                            <wps:spPr>
                              <a:xfrm rot="0">
                                <a:off x="0" y="0"/>
                                <a:ext cx="2218055" cy="0"/>
                              </a:xfrm>
                              <a:prstGeom prst="line"/>
                              <a:noFill/>
                              <a:ln w="6350" cmpd="sng" cap="flat">
                                <a:solidFill>
                                  <a:srgbClr val="000000"/>
                                </a:solidFill>
                                <a:prstDash val="solid"/>
                                <a:miter/>
                              </a:ln>
                            </wps:spPr>
                            <wps:bodyPr vert="horz" wrap="square" lIns="91440" tIns="45720" rIns="91440" bIns="45720" anchor="t" anchorCtr="0" upright="0">
                              <a:noAutofit/>
                            </wps:bodyPr>
                          </wps:wsp>
                        </a:graphicData>
                      </a:graphic>
                    </wp:anchor>
                  </w:drawing>
                </mc:Choice>
                <mc:Fallback>
                  <w:pict>
                    <v:line type="#_x0000_t20" id="直线 4" o:spid="_x0000_s4" from="39.1pt,19.7pt" to="213.75pt,19.7pt" filled="f" stroked="t" strokeweight="0.5pt" style="position:absolute;&#10;z-index:12;&#10;mso-position-horizontal:absolute;&#10;mso-position-vertical:absolute;&#10;mso-wrap-distance-top:-8.503937E-5pt;&#10;mso-wrap-distance-bottom:-8.503937E-5pt;">
                      <v:stroke color="#000000"/>
                    </v:line>
                  </w:pict>
                </mc:Fallback>
              </mc:AlternateContent>
            </w:r>
            <w:r>
              <w:rPr>
                <w:b/>
              </w:rPr>
              <w:t>Độc lập – Tự do – Hạnh phúc</w:t>
            </w:r>
          </w:p>
        </w:tc>
      </w:tr>
      <w:tr>
        <w:trPr>
          <w:trHeight w:val="250"/>
        </w:trPr>
        <w:tc>
          <w:tcPr>
            <w:tcW w:w="3925" w:type="dxa"/>
          </w:tcPr>
          <w:p>
            <w:pPr>
              <w:jc w:val="center"/>
              <w:rPr>
                <w:sz w:val="12"/>
              </w:rPr>
            </w:pPr>
          </w:p>
        </w:tc>
        <w:tc>
          <w:tcPr>
            <w:tcW w:w="5245" w:type="dxa"/>
          </w:tcPr>
          <w:p>
            <w:pPr>
              <w:jc w:val="center"/>
              <w:rPr>
                <w:b/>
                <w:sz w:val="12"/>
              </w:rPr>
            </w:pPr>
          </w:p>
        </w:tc>
      </w:tr>
      <w:tr>
        <w:tc>
          <w:tcPr>
            <w:tcW w:w="3925" w:type="dxa"/>
          </w:tcPr>
          <w:p>
            <w:pPr>
              <w:jc w:val="center"/>
            </w:pPr>
            <w:r>
              <w:t>Số:       /BGDĐT-NGCBQLGD</w:t>
            </w:r>
          </w:p>
          <w:p>
            <w:pPr>
              <w:jc w:val="center"/>
              <w:rPr>
                <w:sz w:val="23"/>
                <w:szCs w:val="23"/>
              </w:rPr>
            </w:pPr>
            <w:r>
              <w:rPr>
                <w:sz w:val="23"/>
                <w:szCs w:val="23"/>
              </w:rPr>
              <w:t>V/v xin ý kiến góp ý dự thảo Nghị định</w:t>
            </w:r>
          </w:p>
        </w:tc>
        <w:tc>
          <w:tcPr>
            <w:tcW w:w="5245" w:type="dxa"/>
          </w:tcPr>
          <w:p>
            <w:pPr>
              <w:jc w:val="center"/>
              <w:rPr>
                <w:i/>
              </w:rPr>
            </w:pPr>
            <w:r>
              <w:rPr>
                <w:i/>
              </w:rPr>
              <w:t>Hà Nội, ngày       tháng      năm 2024</w:t>
            </w:r>
          </w:p>
        </w:tc>
      </w:tr>
    </w:tbl>
    <w:p>
      <w:pPr>
        <w:rPr>
          <w:sz w:val="10"/>
        </w:rPr>
      </w:pPr>
    </w:p>
    <w:tbl>
      <w:tblPr>
        <w:jc w:val="center"/>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413"/>
        <w:gridCol w:w="6964"/>
      </w:tblGrid>
      <w:tr>
        <w:tc>
          <w:tcPr>
            <w:tcW w:w="1413" w:type="dxa"/>
          </w:tcPr>
          <w:p>
            <w:pPr>
              <w:spacing w:before="120" w:after="120"/>
            </w:pPr>
            <w:r>
              <w:t>Kính gửi:</w:t>
            </w:r>
          </w:p>
        </w:tc>
        <w:tc>
          <w:tcPr>
            <w:tcW w:w="6964" w:type="dxa"/>
          </w:tcPr>
          <w:p>
            <w:pPr>
              <w:spacing w:before="120" w:after="120"/>
            </w:pPr>
            <w:r>
              <w:t>Ủy ban nhân dân các tỉnh/thành phố trực thuộc Trung ương</w:t>
            </w:r>
          </w:p>
        </w:tc>
      </w:tr>
    </w:tbl>
    <w:p>
      <w:pPr>
        <w:rPr>
          <w:sz w:val="8"/>
        </w:rPr>
      </w:pPr>
    </w:p>
    <w:p>
      <w:pPr>
        <w:spacing w:after="80" w:line="240" w:lineRule="auto"/>
        <w:ind w:firstLine="709"/>
        <w:jc w:val="both"/>
        <w:rPr>
          <w:spacing w:val="-2"/>
          <w:szCs w:val="28"/>
        </w:rPr>
      </w:pPr>
      <w:bookmarkStart w:id="0" w:name="_Hlk160615671"/>
      <w:r>
        <w:rPr>
          <w:spacing w:val="-2"/>
          <w:szCs w:val="28"/>
        </w:rPr>
        <w:t xml:space="preserve">Thực hiện nhiệm vụ được giao tại số thứ tự 13 Mục XVII Quyết định số 53/QĐ-TTg ngày 15/01/2024 của Thủ tướng Chính phủ về việc ban hành Chương trình công tác năm 2024 của Chính phủ, Thủ tướng Chính phủ, Bộ Giáo dục và Đào tạo đã phối hợp với các đơn vị có liên quan xây dựng </w:t>
      </w:r>
      <w:bookmarkStart w:id="1" w:name="_Hlk103941180"/>
      <w:r>
        <w:rPr>
          <w:spacing w:val="-2"/>
          <w:szCs w:val="28"/>
        </w:rPr>
        <w:t xml:space="preserve">dự thảo </w:t>
      </w:r>
      <w:r>
        <w:t xml:space="preserve">Nghị định sửa đổi, bổ sung một số điều của Nghị định số 71/2020/NĐ-CP ngày 30/6/2020 của Chính phủ quy định lộ trình thực hiện nâng trình độ chuẩn được đào tạo của giáo viên mầm non, tiểu học, trung học cơ sở </w:t>
      </w:r>
      <w:r>
        <w:rPr>
          <w:spacing w:val="-2"/>
          <w:szCs w:val="28"/>
        </w:rPr>
        <w:t>(sau đây gọi tắt là dự thảo Nghị định). Dự thảo Nghị định và dự thảo Tờ trình Chính phủ đã được đăng tải trên Cổng Thông tin điện tử của Chính phủ</w:t>
      </w:r>
      <w:r>
        <w:rPr>
          <w:rStyle w:val="16"/>
          <w:spacing w:val="-2"/>
          <w:szCs w:val="28"/>
        </w:rPr>
        <w:footnoteReference w:id="2"/>
      </w:r>
      <w:r>
        <w:rPr>
          <w:spacing w:val="-2"/>
          <w:szCs w:val="28"/>
        </w:rPr>
        <w:t xml:space="preserve"> và của Bộ Giáo dục và Đào tạo</w:t>
      </w:r>
      <w:r>
        <w:rPr>
          <w:rStyle w:val="16"/>
          <w:spacing w:val="-2"/>
          <w:szCs w:val="28"/>
        </w:rPr>
        <w:footnoteRef/>
      </w:r>
      <w:r>
        <w:rPr>
          <w:spacing w:val="-2"/>
          <w:szCs w:val="28"/>
        </w:rPr>
        <w:t xml:space="preserve"> để lấy ý kiến góp ý</w:t>
      </w:r>
      <w:bookmarkEnd w:id="0"/>
      <w:r>
        <w:rPr>
          <w:spacing w:val="-2"/>
          <w:szCs w:val="28"/>
        </w:rPr>
        <w:t xml:space="preserve">. </w:t>
      </w:r>
      <w:bookmarkEnd w:id="1"/>
    </w:p>
    <w:p>
      <w:pPr>
        <w:spacing w:after="80" w:line="240" w:lineRule="auto"/>
        <w:ind w:firstLine="709"/>
        <w:jc w:val="both"/>
        <w:rPr>
          <w:szCs w:val="28"/>
        </w:rPr>
      </w:pPr>
      <w:r>
        <w:rPr>
          <w:szCs w:val="28"/>
        </w:rPr>
        <w:t>Để có căn cứ chỉnh lý và hoàn thiện dự thảo Nghị định, Bộ Giáo dục và Đào tạo đề nghị Ủy ban nhân dân các tỉnh/thành phố trực thuộc Trung ương (UBND tỉnh) triển khai một số nội dung sau:</w:t>
      </w:r>
    </w:p>
    <w:p>
      <w:pPr>
        <w:spacing w:after="80" w:line="240" w:lineRule="auto"/>
        <w:ind w:firstLine="709"/>
        <w:jc w:val="both"/>
        <w:rPr>
          <w:szCs w:val="28"/>
        </w:rPr>
      </w:pPr>
      <w:r>
        <w:rPr>
          <w:szCs w:val="28"/>
        </w:rPr>
        <w:t>- Phổ biến dự thảo Nghị định đến các tổ chức, cá nhân có liên quan;</w:t>
      </w:r>
    </w:p>
    <w:p>
      <w:pPr>
        <w:spacing w:after="80" w:line="240" w:lineRule="auto"/>
        <w:ind w:firstLine="709"/>
        <w:jc w:val="both"/>
        <w:rPr>
          <w:szCs w:val="28"/>
        </w:rPr>
      </w:pPr>
      <w:r>
        <w:rPr>
          <w:szCs w:val="28"/>
        </w:rPr>
        <w:t>- Phối hợp với các tổ chức, cá nhân có liên quan tổ chức lấy ý kiến góp ý đối với nội dung quy định tại dự thảo Nghị định và dự thảo Tờ trình Chính phủ (theo mẫu gửi kèm). Riêng đối với các cơ sở giáo dục mầm non, cơ sở giáo dục phổ thông, trung tâm giáo dục thường xuyên, trung tâm giáo dục nghề nghiệp - giáo dục thường xuyên, trường chuyên biệt công lập, tư thục, dân lập chỉ lấy ý kiến của giáo viên đã và đang thuộc đối tượng phải nâng trình độ chuẩn được đào tạo theo quy định tại Điều 2 Nghị định số 71/2020/NĐ-CP</w:t>
      </w:r>
      <w:r>
        <w:rPr>
          <w:rStyle w:val="16"/>
          <w:szCs w:val="28"/>
        </w:rPr>
        <w:footnoteReference w:id="3"/>
      </w:r>
      <w:r>
        <w:rPr>
          <w:szCs w:val="28"/>
        </w:rPr>
        <w:t xml:space="preserve"> và hiệu trưởng, phó hiệu trưởng hoặc giám đốc, phó giám đốc của cơ sở giáo dục;</w:t>
      </w:r>
    </w:p>
    <w:p>
      <w:pPr>
        <w:spacing w:after="80" w:line="240" w:lineRule="auto"/>
        <w:ind w:firstLine="709"/>
        <w:jc w:val="both"/>
        <w:rPr>
          <w:szCs w:val="28"/>
        </w:rPr>
      </w:pPr>
      <w:r>
        <w:rPr>
          <w:szCs w:val="28"/>
        </w:rPr>
        <w:t xml:space="preserve">- Tổng hợp các ý kiến góp ý và gửi về Bộ Giáo dục và Đào tạo. </w:t>
      </w:r>
    </w:p>
    <w:p>
      <w:pPr>
        <w:spacing w:after="80" w:line="240" w:lineRule="auto"/>
        <w:ind w:firstLine="709"/>
        <w:jc w:val="both"/>
        <w:rPr>
          <w:szCs w:val="28"/>
          <w:lang w:val="pt-BR"/>
        </w:rPr>
      </w:pPr>
      <w:r>
        <w:rPr>
          <w:szCs w:val="28"/>
        </w:rPr>
        <w:t xml:space="preserve">Văn bản góp ý của UBND tỉnh (bao gồm bản pdf và bản word/excel) xin gửi về Bộ Giáo dục và Đào tạo qua Cục Nhà giáo và Cán bộ quản lý giáo dục theo Hệ thống quản lý hành chính điện tử (E-office) </w:t>
      </w:r>
      <w:r>
        <w:rPr>
          <w:rFonts w:cs="Times New Roman"/>
          <w:b/>
          <w:szCs w:val="28"/>
        </w:rPr>
        <w:t>trước ngày 31/8/2024</w:t>
      </w:r>
      <w:r>
        <w:rPr>
          <w:szCs w:val="28"/>
          <w:lang w:val="pt-BR"/>
        </w:rPr>
        <w:t>.</w:t>
      </w:r>
    </w:p>
    <w:p>
      <w:pPr>
        <w:spacing w:after="80" w:line="240" w:lineRule="auto"/>
        <w:ind w:firstLine="709"/>
        <w:jc w:val="both"/>
        <w:rPr>
          <w:rFonts w:cs="Times New Roman"/>
          <w:szCs w:val="28"/>
        </w:rPr>
      </w:pPr>
      <w:r>
        <w:rPr>
          <w:rFonts w:cs="Times New Roman"/>
          <w:szCs w:val="28"/>
        </w:rPr>
        <w:t>Trân trọng./.</w:t>
      </w:r>
    </w:p>
    <w:p>
      <w:pPr>
        <w:tabs>
          <w:tab w:val="left" w:pos="281"/>
        </w:tabs>
        <w:spacing w:after="0" w:line="240" w:lineRule="auto"/>
        <w:ind w:firstLine="709"/>
        <w:jc w:val="both"/>
        <w:rPr>
          <w:i/>
          <w:sz w:val="10"/>
        </w:rPr>
      </w:pPr>
    </w:p>
    <w:tbl>
      <w:tblPr>
        <w:jc w:val="left"/>
        <w:tblW w:w="872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103"/>
        <w:gridCol w:w="3617"/>
      </w:tblGrid>
      <w:tr>
        <w:trPr>
          <w:trHeight w:val="2267"/>
        </w:trPr>
        <w:tc>
          <w:tcPr>
            <w:tcW w:w="5103" w:type="dxa"/>
          </w:tcPr>
          <w:p>
            <w:pPr>
              <w:spacing w:after="0" w:line="240" w:lineRule="auto"/>
              <w:rPr>
                <w:b/>
                <w:i/>
                <w:sz w:val="22"/>
              </w:rPr>
            </w:pPr>
            <w:r>
              <w:br w:type="page"/>
            </w:r>
            <w:r>
              <w:rPr>
                <w:b/>
                <w:i/>
                <w:sz w:val="22"/>
              </w:rPr>
              <w:t>Nơi nhận:</w:t>
            </w:r>
          </w:p>
          <w:p>
            <w:pPr>
              <w:spacing w:after="0" w:line="240" w:lineRule="auto"/>
              <w:rPr>
                <w:sz w:val="22"/>
              </w:rPr>
            </w:pPr>
            <w:r>
              <w:rPr>
                <w:sz w:val="22"/>
              </w:rPr>
              <w:t>- Như trên;</w:t>
            </w:r>
          </w:p>
          <w:p>
            <w:pPr>
              <w:spacing w:after="0" w:line="240" w:lineRule="auto"/>
              <w:rPr>
                <w:sz w:val="22"/>
              </w:rPr>
            </w:pPr>
            <w:r>
              <w:rPr>
                <w:sz w:val="22"/>
              </w:rPr>
              <w:t>- Văn phòng Chính phủ (để b/c);</w:t>
            </w:r>
          </w:p>
          <w:p>
            <w:pPr>
              <w:spacing w:after="0" w:line="240" w:lineRule="auto"/>
              <w:rPr>
                <w:sz w:val="22"/>
              </w:rPr>
            </w:pPr>
            <w:r>
              <w:rPr>
                <w:sz w:val="22"/>
              </w:rPr>
              <w:t>- Bộ trưởng (để b/c);</w:t>
            </w:r>
          </w:p>
          <w:p>
            <w:pPr>
              <w:spacing w:after="0" w:line="240" w:lineRule="auto"/>
              <w:rPr>
                <w:sz w:val="24"/>
                <w:szCs w:val="24"/>
              </w:rPr>
            </w:pPr>
            <w:r>
              <w:rPr>
                <w:sz w:val="22"/>
              </w:rPr>
              <w:t>- Các Sở Giáo dục và Đào tạo</w:t>
            </w:r>
            <w:r>
              <w:rPr>
                <w:sz w:val="22"/>
                <w:szCs w:val="24"/>
              </w:rPr>
              <w:t xml:space="preserve"> (để t/h);</w:t>
            </w:r>
          </w:p>
          <w:p>
            <w:pPr>
              <w:spacing w:after="0" w:line="240" w:lineRule="auto"/>
              <w:rPr>
                <w:sz w:val="22"/>
              </w:rPr>
            </w:pPr>
            <w:r>
              <w:rPr>
                <w:sz w:val="22"/>
              </w:rPr>
              <w:t>- Lưu: VT, NGCBQLGD.</w:t>
            </w:r>
          </w:p>
          <w:p>
            <w:pPr>
              <w:spacing w:after="0" w:line="240" w:lineRule="auto"/>
              <w:rPr>
                <w:sz w:val="26"/>
                <w:szCs w:val="26"/>
              </w:rPr>
            </w:pPr>
          </w:p>
        </w:tc>
        <w:tc>
          <w:tcPr>
            <w:tcW w:w="3617" w:type="dxa"/>
          </w:tcPr>
          <w:p>
            <w:pPr>
              <w:spacing w:after="0" w:line="240" w:lineRule="auto"/>
              <w:jc w:val="center"/>
              <w:rPr>
                <w:b/>
              </w:rPr>
            </w:pPr>
            <w:r>
              <w:rPr>
                <w:b/>
              </w:rPr>
              <w:t xml:space="preserve">KT. BỘ </w:t>
            </w:r>
            <w:r>
              <w:rPr>
                <w:b/>
                <w:lang w:val="vi-VN"/>
              </w:rPr>
              <w:t>TRƯỞNG</w:t>
            </w:r>
          </w:p>
          <w:p>
            <w:pPr>
              <w:spacing w:after="0" w:line="240" w:lineRule="auto"/>
              <w:jc w:val="center"/>
              <w:rPr>
                <w:b/>
              </w:rPr>
            </w:pPr>
            <w:r>
              <w:rPr>
                <w:b/>
              </w:rPr>
              <w:t>THỨ TRƯỞNG</w:t>
            </w:r>
          </w:p>
          <w:p>
            <w:pPr>
              <w:spacing w:after="0" w:line="240" w:lineRule="auto"/>
              <w:jc w:val="center"/>
              <w:rPr>
                <w:b/>
                <w:sz w:val="26"/>
                <w:szCs w:val="26"/>
              </w:rPr>
            </w:pPr>
          </w:p>
          <w:p>
            <w:pPr>
              <w:spacing w:after="0" w:line="240" w:lineRule="auto"/>
              <w:jc w:val="center"/>
              <w:rPr>
                <w:b/>
                <w:sz w:val="26"/>
                <w:szCs w:val="26"/>
              </w:rPr>
            </w:pPr>
          </w:p>
          <w:p>
            <w:pPr>
              <w:spacing w:after="0" w:line="240" w:lineRule="auto"/>
              <w:jc w:val="center"/>
              <w:rPr>
                <w:b/>
                <w:sz w:val="20"/>
                <w:szCs w:val="20"/>
              </w:rPr>
            </w:pPr>
          </w:p>
          <w:p>
            <w:pPr>
              <w:spacing w:after="0" w:line="240" w:lineRule="auto"/>
              <w:jc w:val="center"/>
              <w:rPr>
                <w:b/>
                <w:sz w:val="20"/>
                <w:szCs w:val="20"/>
              </w:rPr>
            </w:pPr>
          </w:p>
          <w:p>
            <w:pPr>
              <w:spacing w:after="0" w:line="240" w:lineRule="auto"/>
              <w:jc w:val="center"/>
              <w:rPr>
                <w:b/>
                <w:sz w:val="20"/>
                <w:szCs w:val="20"/>
              </w:rPr>
            </w:pPr>
          </w:p>
          <w:p>
            <w:pPr>
              <w:spacing w:after="0" w:line="240" w:lineRule="auto"/>
              <w:jc w:val="center"/>
              <w:rPr>
                <w:b/>
                <w:sz w:val="4"/>
                <w:szCs w:val="20"/>
              </w:rPr>
            </w:pPr>
          </w:p>
          <w:p>
            <w:pPr>
              <w:spacing w:after="0" w:line="240" w:lineRule="auto"/>
              <w:jc w:val="center"/>
              <w:rPr>
                <w:b/>
              </w:rPr>
            </w:pPr>
            <w:r>
              <w:rPr>
                <w:b/>
              </w:rPr>
              <w:t>Phạm Ngọc Thưởng</w:t>
            </w:r>
          </w:p>
        </w:tc>
      </w:tr>
    </w:tbl>
    <w:p>
      <w:pPr>
        <w:rPr>
          <w:b/>
          <w:u w:val="single"/>
        </w:rPr>
      </w:pPr>
      <w:r>
        <w:rPr>
          <w:b/>
          <w:u w:val="single"/>
        </w:rPr>
        <w:t>Mẫu góp ý</w:t>
      </w:r>
    </w:p>
    <w:p>
      <w:pPr>
        <w:spacing w:after="0" w:line="240" w:lineRule="auto"/>
        <w:jc w:val="center"/>
        <w:rPr>
          <w:b/>
          <w:szCs w:val="28"/>
        </w:rPr>
      </w:pPr>
      <w:r>
        <w:rPr>
          <w:b/>
          <w:szCs w:val="28"/>
        </w:rPr>
        <w:t>GÓP Ý DỰ THẢO NGHỊ ĐỊNH</w:t>
      </w:r>
    </w:p>
    <w:p>
      <w:pPr>
        <w:spacing w:after="0" w:line="240" w:lineRule="auto"/>
        <w:jc w:val="center"/>
        <w:rPr>
          <w:b/>
          <w:sz w:val="27"/>
          <w:szCs w:val="27"/>
        </w:rPr>
      </w:pPr>
      <w:r>
        <w:rPr>
          <w:b/>
          <w:sz w:val="27"/>
          <w:szCs w:val="27"/>
        </w:rPr>
        <w:t>Sửa đổi, bổ sung một số điều của Nghị định số 71/2020/NĐ-CP ngày 30/6/2020 của Chính phủ quy định lộ trình thực hiện nâng trình độ chuẩn được đào tạo của giáo viên mầm non, tiểu học, trung học cơ sở</w:t>
      </w:r>
    </w:p>
    <w:p>
      <w:pPr>
        <w:spacing w:after="0" w:line="240" w:lineRule="auto"/>
        <w:jc w:val="both"/>
        <w:rPr>
          <w:szCs w:val="28"/>
        </w:rPr>
      </w:pPr>
    </w:p>
    <w:p>
      <w:pPr>
        <w:pStyle w:val="18"/>
        <w:numPr>
          <w:ilvl w:val="0"/>
          <w:numId w:val="1"/>
        </w:numPr>
        <w:spacing w:after="0" w:line="240" w:lineRule="auto"/>
        <w:jc w:val="both"/>
        <w:rPr>
          <w:b/>
          <w:szCs w:val="28"/>
        </w:rPr>
      </w:pPr>
      <w:r>
        <w:rPr>
          <w:b/>
          <w:szCs w:val="28"/>
        </w:rPr>
        <w:t>Một số kết quả đào tạo nâng trình độ chuẩn</w:t>
      </w:r>
    </w:p>
    <w:p>
      <w:pPr>
        <w:spacing w:before="120" w:line="240" w:lineRule="auto"/>
        <w:ind w:firstLine="709"/>
        <w:jc w:val="both"/>
        <w:rPr>
          <w:b/>
          <w:i/>
          <w:szCs w:val="28"/>
        </w:rPr>
      </w:pPr>
      <w:r>
        <w:rPr>
          <w:b/>
          <w:i/>
          <w:szCs w:val="28"/>
        </w:rPr>
        <w:t>1.1. Số giáo viên đã và đang được đào tạo nâng trình độ chuẩn</w:t>
      </w:r>
    </w:p>
    <w:p>
      <w:pPr>
        <w:spacing w:before="120" w:line="240" w:lineRule="auto"/>
        <w:ind w:firstLine="709"/>
        <w:jc w:val="both"/>
        <w:rPr>
          <w:szCs w:val="28"/>
        </w:rPr>
      </w:pPr>
      <w:r>
        <w:rPr>
          <w:szCs w:val="28"/>
        </w:rPr>
        <w:t>- Tổng số: … người.</w:t>
      </w:r>
    </w:p>
    <w:p>
      <w:pPr>
        <w:spacing w:before="120" w:line="240" w:lineRule="auto"/>
        <w:ind w:firstLine="709"/>
        <w:jc w:val="both"/>
        <w:rPr>
          <w:szCs w:val="28"/>
        </w:rPr>
      </w:pPr>
      <w:r>
        <w:rPr>
          <w:szCs w:val="28"/>
        </w:rPr>
        <w:t>- Chia theo cấp học:</w:t>
      </w:r>
    </w:p>
    <w:p>
      <w:pPr>
        <w:spacing w:before="120" w:line="240" w:lineRule="auto"/>
        <w:ind w:firstLine="709"/>
        <w:jc w:val="both"/>
        <w:rPr>
          <w:szCs w:val="28"/>
        </w:rPr>
      </w:pPr>
      <w:r>
        <w:rPr>
          <w:szCs w:val="28"/>
        </w:rPr>
        <w:t>+ Giáo viên mầm non: Tổng… người; công lập… người; dân lập, tư thục… người;</w:t>
      </w:r>
    </w:p>
    <w:p>
      <w:pPr>
        <w:spacing w:before="120" w:line="240" w:lineRule="auto"/>
        <w:ind w:firstLine="709"/>
        <w:jc w:val="both"/>
        <w:rPr>
          <w:szCs w:val="28"/>
        </w:rPr>
      </w:pPr>
      <w:r>
        <w:rPr>
          <w:szCs w:val="28"/>
        </w:rPr>
        <w:t>+ Giáo viên tiểu học: Tổng… người; công lập… người; tư thục… người;</w:t>
      </w:r>
    </w:p>
    <w:p>
      <w:pPr>
        <w:spacing w:before="120" w:line="240" w:lineRule="auto"/>
        <w:ind w:firstLine="709"/>
        <w:jc w:val="both"/>
        <w:rPr>
          <w:szCs w:val="28"/>
        </w:rPr>
      </w:pPr>
      <w:r>
        <w:rPr>
          <w:szCs w:val="28"/>
        </w:rPr>
        <w:t>+ Giáo viên THCS: Tổng… người; công lập… người; tư thục… người.</w:t>
      </w:r>
    </w:p>
    <w:p>
      <w:pPr>
        <w:spacing w:before="120" w:line="240" w:lineRule="auto"/>
        <w:ind w:firstLine="709"/>
        <w:jc w:val="both"/>
        <w:rPr>
          <w:b/>
          <w:i/>
          <w:szCs w:val="28"/>
        </w:rPr>
      </w:pPr>
      <w:r>
        <w:rPr>
          <w:b/>
          <w:i/>
          <w:szCs w:val="28"/>
        </w:rPr>
        <w:t>1.2. Số giáo viên được hỗ trợ kinh phí đào tạo</w:t>
      </w:r>
    </w:p>
    <w:p>
      <w:pPr>
        <w:spacing w:before="120" w:line="240" w:lineRule="auto"/>
        <w:ind w:firstLine="709"/>
        <w:jc w:val="both"/>
        <w:rPr>
          <w:szCs w:val="28"/>
        </w:rPr>
      </w:pPr>
      <w:r>
        <w:rPr>
          <w:szCs w:val="28"/>
        </w:rPr>
        <w:t>- Tổng số: … người.</w:t>
      </w:r>
    </w:p>
    <w:p>
      <w:pPr>
        <w:spacing w:before="120" w:line="240" w:lineRule="auto"/>
        <w:ind w:firstLine="709"/>
        <w:jc w:val="both"/>
        <w:rPr>
          <w:szCs w:val="28"/>
        </w:rPr>
      </w:pPr>
      <w:r>
        <w:rPr>
          <w:szCs w:val="28"/>
        </w:rPr>
        <w:t>- Chia theo cấp học:</w:t>
      </w:r>
    </w:p>
    <w:p>
      <w:pPr>
        <w:spacing w:before="120" w:line="240" w:lineRule="auto"/>
        <w:ind w:firstLine="709"/>
        <w:jc w:val="both"/>
        <w:rPr>
          <w:szCs w:val="28"/>
        </w:rPr>
      </w:pPr>
      <w:r>
        <w:rPr>
          <w:szCs w:val="28"/>
        </w:rPr>
        <w:t>+ Giáo viên mầm non: Tổng… người; công lập… người; dân lập, tư thục… người;</w:t>
      </w:r>
    </w:p>
    <w:p>
      <w:pPr>
        <w:spacing w:before="120" w:line="240" w:lineRule="auto"/>
        <w:ind w:firstLine="709"/>
        <w:jc w:val="both"/>
        <w:rPr>
          <w:szCs w:val="28"/>
        </w:rPr>
      </w:pPr>
      <w:r>
        <w:rPr>
          <w:szCs w:val="28"/>
        </w:rPr>
        <w:t>+ Giáo viên tiểu học: Tổng… người; công lập… người; tư thục… người;</w:t>
      </w:r>
    </w:p>
    <w:p>
      <w:pPr>
        <w:spacing w:before="120" w:line="240" w:lineRule="auto"/>
        <w:ind w:firstLine="709"/>
        <w:jc w:val="both"/>
        <w:rPr>
          <w:szCs w:val="28"/>
        </w:rPr>
      </w:pPr>
      <w:r>
        <w:rPr>
          <w:szCs w:val="28"/>
        </w:rPr>
        <w:t xml:space="preserve">+ Giáo viên THCS: Tổng… người; công lập… người; </w:t>
      </w:r>
      <w:bookmarkStart w:id="2" w:name="_GoBack"/>
      <w:bookmarkEnd w:id="2"/>
      <w:r>
        <w:rPr>
          <w:szCs w:val="28"/>
        </w:rPr>
        <w:t>tư thục… người.</w:t>
      </w:r>
    </w:p>
    <w:p>
      <w:pPr>
        <w:spacing w:before="120" w:line="240" w:lineRule="auto"/>
        <w:ind w:firstLine="709"/>
        <w:jc w:val="both"/>
        <w:rPr>
          <w:szCs w:val="28"/>
        </w:rPr>
      </w:pPr>
      <w:r>
        <w:rPr>
          <w:szCs w:val="28"/>
        </w:rPr>
        <w:t>- Kinh phí đào tạo đã chi trả (ĐVT: triệu đồng):</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555"/>
        <w:gridCol w:w="1275"/>
        <w:gridCol w:w="2977"/>
        <w:gridCol w:w="3118"/>
      </w:tblGrid>
      <w:tr>
        <w:tc>
          <w:tcPr>
            <w:tcW w:w="1555" w:type="dxa"/>
          </w:tcPr>
          <w:p>
            <w:pPr>
              <w:jc w:val="center"/>
              <w:rPr>
                <w:sz w:val="24"/>
                <w:szCs w:val="24"/>
              </w:rPr>
            </w:pPr>
            <w:r>
              <w:rPr>
                <w:sz w:val="24"/>
                <w:szCs w:val="24"/>
              </w:rPr>
              <w:t>Năm</w:t>
            </w:r>
          </w:p>
        </w:tc>
        <w:tc>
          <w:tcPr>
            <w:tcW w:w="1275" w:type="dxa"/>
          </w:tcPr>
          <w:p>
            <w:pPr>
              <w:jc w:val="center"/>
              <w:rPr>
                <w:sz w:val="24"/>
                <w:szCs w:val="24"/>
              </w:rPr>
            </w:pPr>
            <w:r>
              <w:rPr>
                <w:sz w:val="24"/>
                <w:szCs w:val="24"/>
              </w:rPr>
              <w:t>Tổng số</w:t>
            </w:r>
          </w:p>
        </w:tc>
        <w:tc>
          <w:tcPr>
            <w:tcW w:w="2977" w:type="dxa"/>
          </w:tcPr>
          <w:p>
            <w:pPr>
              <w:jc w:val="center"/>
              <w:rPr>
                <w:sz w:val="24"/>
                <w:szCs w:val="24"/>
              </w:rPr>
            </w:pPr>
            <w:r>
              <w:rPr>
                <w:sz w:val="24"/>
                <w:szCs w:val="24"/>
              </w:rPr>
              <w:t>Kinh phí đào tạo đã hỗ trợ cho giáo viên công lập</w:t>
            </w:r>
          </w:p>
        </w:tc>
        <w:tc>
          <w:tcPr>
            <w:tcW w:w="3118" w:type="dxa"/>
          </w:tcPr>
          <w:p>
            <w:pPr>
              <w:jc w:val="center"/>
              <w:rPr>
                <w:sz w:val="24"/>
                <w:szCs w:val="24"/>
              </w:rPr>
            </w:pPr>
            <w:r>
              <w:rPr>
                <w:sz w:val="24"/>
                <w:szCs w:val="24"/>
              </w:rPr>
              <w:t>Kinh phí đào tạo đã hỗ trợ cho giáo viên dân lập, tư thục</w:t>
            </w:r>
          </w:p>
        </w:tc>
      </w:tr>
      <w:tr>
        <w:tc>
          <w:tcPr>
            <w:tcW w:w="1555" w:type="dxa"/>
          </w:tcPr>
          <w:p>
            <w:pPr>
              <w:jc w:val="both"/>
              <w:rPr>
                <w:sz w:val="24"/>
                <w:szCs w:val="24"/>
              </w:rPr>
            </w:pPr>
            <w:r>
              <w:rPr>
                <w:sz w:val="24"/>
                <w:szCs w:val="24"/>
              </w:rPr>
              <w:t>Năm 2020</w:t>
            </w:r>
          </w:p>
        </w:tc>
        <w:tc>
          <w:tcPr>
            <w:tcW w:w="1275" w:type="dxa"/>
          </w:tcPr>
          <w:p>
            <w:pPr>
              <w:jc w:val="both"/>
              <w:rPr>
                <w:sz w:val="24"/>
                <w:szCs w:val="24"/>
              </w:rPr>
            </w:pPr>
          </w:p>
        </w:tc>
        <w:tc>
          <w:tcPr>
            <w:tcW w:w="2977" w:type="dxa"/>
          </w:tcPr>
          <w:p>
            <w:pPr>
              <w:jc w:val="both"/>
              <w:rPr>
                <w:sz w:val="24"/>
                <w:szCs w:val="24"/>
              </w:rPr>
            </w:pPr>
          </w:p>
        </w:tc>
        <w:tc>
          <w:tcPr>
            <w:tcW w:w="3118" w:type="dxa"/>
          </w:tcPr>
          <w:p>
            <w:pPr>
              <w:jc w:val="both"/>
              <w:rPr>
                <w:sz w:val="24"/>
                <w:szCs w:val="24"/>
              </w:rPr>
            </w:pPr>
          </w:p>
        </w:tc>
      </w:tr>
      <w:tr>
        <w:tc>
          <w:tcPr>
            <w:tcW w:w="1555" w:type="dxa"/>
          </w:tcPr>
          <w:p>
            <w:pPr>
              <w:jc w:val="both"/>
              <w:rPr>
                <w:sz w:val="24"/>
                <w:szCs w:val="24"/>
              </w:rPr>
            </w:pPr>
            <w:r>
              <w:rPr>
                <w:sz w:val="24"/>
                <w:szCs w:val="24"/>
              </w:rPr>
              <w:t>Năm 2021</w:t>
            </w:r>
          </w:p>
        </w:tc>
        <w:tc>
          <w:tcPr>
            <w:tcW w:w="1275" w:type="dxa"/>
          </w:tcPr>
          <w:p>
            <w:pPr>
              <w:jc w:val="both"/>
              <w:rPr>
                <w:sz w:val="24"/>
                <w:szCs w:val="24"/>
              </w:rPr>
            </w:pPr>
          </w:p>
        </w:tc>
        <w:tc>
          <w:tcPr>
            <w:tcW w:w="2977" w:type="dxa"/>
          </w:tcPr>
          <w:p>
            <w:pPr>
              <w:jc w:val="both"/>
              <w:rPr>
                <w:sz w:val="24"/>
                <w:szCs w:val="24"/>
              </w:rPr>
            </w:pPr>
          </w:p>
        </w:tc>
        <w:tc>
          <w:tcPr>
            <w:tcW w:w="3118" w:type="dxa"/>
          </w:tcPr>
          <w:p>
            <w:pPr>
              <w:jc w:val="both"/>
              <w:rPr>
                <w:sz w:val="24"/>
                <w:szCs w:val="24"/>
              </w:rPr>
            </w:pPr>
          </w:p>
        </w:tc>
      </w:tr>
      <w:tr>
        <w:tc>
          <w:tcPr>
            <w:tcW w:w="1555" w:type="dxa"/>
          </w:tcPr>
          <w:p>
            <w:pPr>
              <w:jc w:val="both"/>
              <w:rPr>
                <w:sz w:val="24"/>
                <w:szCs w:val="24"/>
              </w:rPr>
            </w:pPr>
            <w:r>
              <w:rPr>
                <w:sz w:val="24"/>
                <w:szCs w:val="24"/>
              </w:rPr>
              <w:t>Năm 2022</w:t>
            </w:r>
          </w:p>
        </w:tc>
        <w:tc>
          <w:tcPr>
            <w:tcW w:w="1275" w:type="dxa"/>
          </w:tcPr>
          <w:p>
            <w:pPr>
              <w:jc w:val="both"/>
              <w:rPr>
                <w:sz w:val="24"/>
                <w:szCs w:val="24"/>
              </w:rPr>
            </w:pPr>
          </w:p>
        </w:tc>
        <w:tc>
          <w:tcPr>
            <w:tcW w:w="2977" w:type="dxa"/>
          </w:tcPr>
          <w:p>
            <w:pPr>
              <w:jc w:val="both"/>
              <w:rPr>
                <w:sz w:val="24"/>
                <w:szCs w:val="24"/>
              </w:rPr>
            </w:pPr>
          </w:p>
        </w:tc>
        <w:tc>
          <w:tcPr>
            <w:tcW w:w="3118" w:type="dxa"/>
          </w:tcPr>
          <w:p>
            <w:pPr>
              <w:jc w:val="both"/>
              <w:rPr>
                <w:sz w:val="24"/>
                <w:szCs w:val="24"/>
              </w:rPr>
            </w:pPr>
          </w:p>
        </w:tc>
      </w:tr>
      <w:tr>
        <w:tc>
          <w:tcPr>
            <w:tcW w:w="1555" w:type="dxa"/>
          </w:tcPr>
          <w:p>
            <w:pPr>
              <w:jc w:val="both"/>
              <w:rPr>
                <w:sz w:val="24"/>
                <w:szCs w:val="24"/>
              </w:rPr>
            </w:pPr>
            <w:r>
              <w:rPr>
                <w:sz w:val="24"/>
                <w:szCs w:val="24"/>
              </w:rPr>
              <w:t>Năm 2023</w:t>
            </w:r>
          </w:p>
        </w:tc>
        <w:tc>
          <w:tcPr>
            <w:tcW w:w="1275" w:type="dxa"/>
          </w:tcPr>
          <w:p>
            <w:pPr>
              <w:jc w:val="both"/>
              <w:rPr>
                <w:sz w:val="24"/>
                <w:szCs w:val="24"/>
              </w:rPr>
            </w:pPr>
          </w:p>
        </w:tc>
        <w:tc>
          <w:tcPr>
            <w:tcW w:w="2977" w:type="dxa"/>
          </w:tcPr>
          <w:p>
            <w:pPr>
              <w:jc w:val="both"/>
              <w:rPr>
                <w:sz w:val="24"/>
                <w:szCs w:val="24"/>
              </w:rPr>
            </w:pPr>
          </w:p>
        </w:tc>
        <w:tc>
          <w:tcPr>
            <w:tcW w:w="3118" w:type="dxa"/>
          </w:tcPr>
          <w:p>
            <w:pPr>
              <w:jc w:val="both"/>
              <w:rPr>
                <w:sz w:val="24"/>
                <w:szCs w:val="24"/>
              </w:rPr>
            </w:pPr>
          </w:p>
        </w:tc>
      </w:tr>
      <w:tr>
        <w:tc>
          <w:tcPr>
            <w:tcW w:w="1555" w:type="dxa"/>
          </w:tcPr>
          <w:p>
            <w:pPr>
              <w:jc w:val="both"/>
              <w:rPr>
                <w:sz w:val="24"/>
                <w:szCs w:val="24"/>
              </w:rPr>
            </w:pPr>
            <w:r>
              <w:rPr>
                <w:sz w:val="24"/>
                <w:szCs w:val="24"/>
              </w:rPr>
              <w:t>Năm 2024</w:t>
            </w:r>
          </w:p>
        </w:tc>
        <w:tc>
          <w:tcPr>
            <w:tcW w:w="1275" w:type="dxa"/>
          </w:tcPr>
          <w:p>
            <w:pPr>
              <w:jc w:val="both"/>
              <w:rPr>
                <w:sz w:val="24"/>
                <w:szCs w:val="24"/>
              </w:rPr>
            </w:pPr>
          </w:p>
        </w:tc>
        <w:tc>
          <w:tcPr>
            <w:tcW w:w="2977" w:type="dxa"/>
          </w:tcPr>
          <w:p>
            <w:pPr>
              <w:jc w:val="both"/>
              <w:rPr>
                <w:sz w:val="24"/>
                <w:szCs w:val="24"/>
              </w:rPr>
            </w:pPr>
          </w:p>
        </w:tc>
        <w:tc>
          <w:tcPr>
            <w:tcW w:w="3118" w:type="dxa"/>
          </w:tcPr>
          <w:p>
            <w:pPr>
              <w:jc w:val="both"/>
              <w:rPr>
                <w:sz w:val="24"/>
                <w:szCs w:val="24"/>
              </w:rPr>
            </w:pPr>
          </w:p>
        </w:tc>
      </w:tr>
    </w:tbl>
    <w:p>
      <w:pPr>
        <w:spacing w:before="120" w:line="240" w:lineRule="auto"/>
        <w:ind w:firstLine="709"/>
        <w:jc w:val="both"/>
        <w:rPr>
          <w:b/>
          <w:i/>
          <w:szCs w:val="28"/>
        </w:rPr>
      </w:pPr>
      <w:r>
        <w:rPr>
          <w:b/>
          <w:i/>
          <w:szCs w:val="28"/>
        </w:rPr>
        <w:t>1.3. Phương thức đào tạo đã thực hiện</w:t>
      </w:r>
    </w:p>
    <w:tbl>
      <w:tblPr>
        <w:jc w:val="left"/>
        <w:tblInd w:w="0" w:type="dxa"/>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122"/>
        <w:gridCol w:w="2409"/>
        <w:gridCol w:w="2241"/>
        <w:gridCol w:w="2126"/>
      </w:tblGrid>
      <w:tr>
        <w:tc>
          <w:tcPr>
            <w:tcW w:w="2122" w:type="dxa"/>
            <w:vMerge w:val="restart"/>
          </w:tcPr>
          <w:p>
            <w:pPr>
              <w:jc w:val="center"/>
              <w:rPr>
                <w:sz w:val="24"/>
                <w:szCs w:val="24"/>
              </w:rPr>
            </w:pPr>
            <w:r>
              <w:rPr>
                <w:sz w:val="24"/>
                <w:szCs w:val="24"/>
              </w:rPr>
              <w:t>Năm</w:t>
            </w:r>
          </w:p>
        </w:tc>
        <w:tc>
          <w:tcPr>
            <w:tcW w:w="2409" w:type="dxa"/>
          </w:tcPr>
          <w:p>
            <w:pPr>
              <w:jc w:val="center"/>
              <w:rPr>
                <w:sz w:val="24"/>
                <w:szCs w:val="24"/>
              </w:rPr>
            </w:pPr>
            <w:r>
              <w:rPr>
                <w:sz w:val="24"/>
                <w:szCs w:val="24"/>
              </w:rPr>
              <w:t>Giao nhiệm vụ</w:t>
            </w:r>
          </w:p>
        </w:tc>
        <w:tc>
          <w:tcPr>
            <w:tcW w:w="2241" w:type="dxa"/>
          </w:tcPr>
          <w:p>
            <w:pPr>
              <w:jc w:val="center"/>
              <w:rPr>
                <w:sz w:val="24"/>
                <w:szCs w:val="24"/>
              </w:rPr>
            </w:pPr>
            <w:r>
              <w:rPr>
                <w:sz w:val="24"/>
                <w:szCs w:val="24"/>
              </w:rPr>
              <w:t>Đặt hàng</w:t>
            </w:r>
          </w:p>
        </w:tc>
        <w:tc>
          <w:tcPr>
            <w:tcW w:w="2126" w:type="dxa"/>
          </w:tcPr>
          <w:p>
            <w:pPr>
              <w:jc w:val="center"/>
              <w:rPr>
                <w:sz w:val="24"/>
                <w:szCs w:val="24"/>
              </w:rPr>
            </w:pPr>
            <w:r>
              <w:rPr>
                <w:sz w:val="24"/>
                <w:szCs w:val="24"/>
              </w:rPr>
              <w:t>Đấu thầu</w:t>
            </w:r>
          </w:p>
        </w:tc>
      </w:tr>
      <w:tr>
        <w:tc>
          <w:tcPr>
            <w:tcW w:w="2122" w:type="dxa"/>
            <w:vMerge/>
          </w:tcPr>
          <w:p/>
        </w:tc>
        <w:tc>
          <w:tcPr>
            <w:tcW w:w="2409" w:type="dxa"/>
          </w:tcPr>
          <w:p>
            <w:pPr>
              <w:jc w:val="center"/>
              <w:rPr>
                <w:sz w:val="24"/>
                <w:szCs w:val="24"/>
              </w:rPr>
            </w:pPr>
            <w:r>
              <w:rPr>
                <w:sz w:val="24"/>
                <w:szCs w:val="24"/>
              </w:rPr>
              <w:t>(1)</w:t>
            </w:r>
          </w:p>
        </w:tc>
        <w:tc>
          <w:tcPr>
            <w:tcW w:w="2241" w:type="dxa"/>
          </w:tcPr>
          <w:p>
            <w:pPr>
              <w:jc w:val="center"/>
              <w:rPr>
                <w:sz w:val="24"/>
                <w:szCs w:val="24"/>
              </w:rPr>
            </w:pPr>
            <w:r>
              <w:rPr>
                <w:sz w:val="24"/>
                <w:szCs w:val="24"/>
              </w:rPr>
              <w:t>(2)</w:t>
            </w:r>
          </w:p>
        </w:tc>
        <w:tc>
          <w:tcPr>
            <w:tcW w:w="2126" w:type="dxa"/>
          </w:tcPr>
          <w:p>
            <w:pPr>
              <w:jc w:val="center"/>
              <w:rPr>
                <w:sz w:val="24"/>
                <w:szCs w:val="24"/>
              </w:rPr>
            </w:pPr>
            <w:r>
              <w:rPr>
                <w:sz w:val="24"/>
                <w:szCs w:val="24"/>
              </w:rPr>
              <w:t>(3)</w:t>
            </w:r>
          </w:p>
        </w:tc>
      </w:tr>
      <w:tr>
        <w:tc>
          <w:tcPr>
            <w:tcW w:w="2122" w:type="dxa"/>
          </w:tcPr>
          <w:p>
            <w:pPr>
              <w:jc w:val="both"/>
              <w:rPr>
                <w:sz w:val="24"/>
                <w:szCs w:val="24"/>
              </w:rPr>
            </w:pPr>
            <w:r>
              <w:rPr>
                <w:sz w:val="24"/>
                <w:szCs w:val="24"/>
              </w:rPr>
              <w:t>Năm 2020</w:t>
            </w:r>
          </w:p>
        </w:tc>
        <w:tc>
          <w:tcPr>
            <w:tcW w:w="2409" w:type="dxa"/>
          </w:tcPr>
          <w:p>
            <w:pPr>
              <w:jc w:val="both"/>
              <w:rPr>
                <w:sz w:val="24"/>
                <w:szCs w:val="24"/>
              </w:rPr>
            </w:pPr>
          </w:p>
        </w:tc>
        <w:tc>
          <w:tcPr>
            <w:tcW w:w="2241" w:type="dxa"/>
          </w:tcPr>
          <w:p>
            <w:pPr>
              <w:jc w:val="both"/>
              <w:rPr>
                <w:sz w:val="24"/>
                <w:szCs w:val="24"/>
              </w:rPr>
            </w:pPr>
          </w:p>
        </w:tc>
        <w:tc>
          <w:tcPr>
            <w:tcW w:w="2126" w:type="dxa"/>
          </w:tcPr>
          <w:p>
            <w:pPr>
              <w:jc w:val="both"/>
              <w:rPr>
                <w:sz w:val="24"/>
                <w:szCs w:val="24"/>
              </w:rPr>
            </w:pPr>
          </w:p>
        </w:tc>
      </w:tr>
      <w:tr>
        <w:tc>
          <w:tcPr>
            <w:tcW w:w="2122" w:type="dxa"/>
          </w:tcPr>
          <w:p>
            <w:pPr>
              <w:jc w:val="both"/>
              <w:rPr>
                <w:sz w:val="24"/>
                <w:szCs w:val="24"/>
              </w:rPr>
            </w:pPr>
            <w:r>
              <w:rPr>
                <w:sz w:val="24"/>
                <w:szCs w:val="24"/>
              </w:rPr>
              <w:t>Năm 2021</w:t>
            </w:r>
          </w:p>
        </w:tc>
        <w:tc>
          <w:tcPr>
            <w:tcW w:w="2409" w:type="dxa"/>
          </w:tcPr>
          <w:p>
            <w:pPr>
              <w:jc w:val="both"/>
              <w:rPr>
                <w:sz w:val="24"/>
                <w:szCs w:val="24"/>
              </w:rPr>
            </w:pPr>
          </w:p>
        </w:tc>
        <w:tc>
          <w:tcPr>
            <w:tcW w:w="2241" w:type="dxa"/>
          </w:tcPr>
          <w:p>
            <w:pPr>
              <w:jc w:val="both"/>
              <w:rPr>
                <w:sz w:val="24"/>
                <w:szCs w:val="24"/>
              </w:rPr>
            </w:pPr>
          </w:p>
        </w:tc>
        <w:tc>
          <w:tcPr>
            <w:tcW w:w="2126" w:type="dxa"/>
          </w:tcPr>
          <w:p>
            <w:pPr>
              <w:jc w:val="both"/>
              <w:rPr>
                <w:sz w:val="24"/>
                <w:szCs w:val="24"/>
              </w:rPr>
            </w:pPr>
          </w:p>
        </w:tc>
      </w:tr>
      <w:tr>
        <w:tc>
          <w:tcPr>
            <w:tcW w:w="2122" w:type="dxa"/>
          </w:tcPr>
          <w:p>
            <w:pPr>
              <w:jc w:val="both"/>
              <w:rPr>
                <w:sz w:val="24"/>
                <w:szCs w:val="24"/>
              </w:rPr>
            </w:pPr>
            <w:r>
              <w:rPr>
                <w:sz w:val="24"/>
                <w:szCs w:val="24"/>
              </w:rPr>
              <w:t>Năm 2022</w:t>
            </w:r>
          </w:p>
        </w:tc>
        <w:tc>
          <w:tcPr>
            <w:tcW w:w="2409" w:type="dxa"/>
          </w:tcPr>
          <w:p>
            <w:pPr>
              <w:jc w:val="both"/>
              <w:rPr>
                <w:sz w:val="24"/>
                <w:szCs w:val="24"/>
              </w:rPr>
            </w:pPr>
          </w:p>
        </w:tc>
        <w:tc>
          <w:tcPr>
            <w:tcW w:w="2241" w:type="dxa"/>
          </w:tcPr>
          <w:p>
            <w:pPr>
              <w:jc w:val="both"/>
              <w:rPr>
                <w:sz w:val="24"/>
                <w:szCs w:val="24"/>
              </w:rPr>
            </w:pPr>
          </w:p>
        </w:tc>
        <w:tc>
          <w:tcPr>
            <w:tcW w:w="2126" w:type="dxa"/>
          </w:tcPr>
          <w:p>
            <w:pPr>
              <w:jc w:val="both"/>
              <w:rPr>
                <w:sz w:val="24"/>
                <w:szCs w:val="24"/>
              </w:rPr>
            </w:pPr>
          </w:p>
        </w:tc>
      </w:tr>
      <w:tr>
        <w:tc>
          <w:tcPr>
            <w:tcW w:w="2122" w:type="dxa"/>
          </w:tcPr>
          <w:p>
            <w:pPr>
              <w:jc w:val="both"/>
              <w:rPr>
                <w:sz w:val="24"/>
                <w:szCs w:val="24"/>
              </w:rPr>
            </w:pPr>
            <w:r>
              <w:rPr>
                <w:sz w:val="24"/>
                <w:szCs w:val="24"/>
              </w:rPr>
              <w:t>Năm 2023</w:t>
            </w:r>
          </w:p>
        </w:tc>
        <w:tc>
          <w:tcPr>
            <w:tcW w:w="2409" w:type="dxa"/>
          </w:tcPr>
          <w:p>
            <w:pPr>
              <w:jc w:val="both"/>
              <w:rPr>
                <w:sz w:val="24"/>
                <w:szCs w:val="24"/>
              </w:rPr>
            </w:pPr>
          </w:p>
        </w:tc>
        <w:tc>
          <w:tcPr>
            <w:tcW w:w="2241" w:type="dxa"/>
          </w:tcPr>
          <w:p>
            <w:pPr>
              <w:jc w:val="both"/>
              <w:rPr>
                <w:sz w:val="24"/>
                <w:szCs w:val="24"/>
              </w:rPr>
            </w:pPr>
          </w:p>
        </w:tc>
        <w:tc>
          <w:tcPr>
            <w:tcW w:w="2126" w:type="dxa"/>
          </w:tcPr>
          <w:p>
            <w:pPr>
              <w:jc w:val="both"/>
              <w:rPr>
                <w:sz w:val="24"/>
                <w:szCs w:val="24"/>
              </w:rPr>
            </w:pPr>
          </w:p>
        </w:tc>
      </w:tr>
      <w:tr>
        <w:tc>
          <w:tcPr>
            <w:tcW w:w="2122" w:type="dxa"/>
          </w:tcPr>
          <w:p>
            <w:pPr>
              <w:jc w:val="both"/>
              <w:rPr>
                <w:sz w:val="24"/>
                <w:szCs w:val="24"/>
              </w:rPr>
            </w:pPr>
            <w:r>
              <w:rPr>
                <w:sz w:val="24"/>
                <w:szCs w:val="24"/>
              </w:rPr>
              <w:t>Năm 2024</w:t>
            </w:r>
          </w:p>
        </w:tc>
        <w:tc>
          <w:tcPr>
            <w:tcW w:w="2409" w:type="dxa"/>
          </w:tcPr>
          <w:p>
            <w:pPr>
              <w:jc w:val="both"/>
              <w:rPr>
                <w:sz w:val="24"/>
                <w:szCs w:val="24"/>
              </w:rPr>
            </w:pPr>
          </w:p>
        </w:tc>
        <w:tc>
          <w:tcPr>
            <w:tcW w:w="2241" w:type="dxa"/>
          </w:tcPr>
          <w:p>
            <w:pPr>
              <w:jc w:val="both"/>
              <w:rPr>
                <w:sz w:val="24"/>
                <w:szCs w:val="24"/>
              </w:rPr>
            </w:pPr>
          </w:p>
        </w:tc>
        <w:tc>
          <w:tcPr>
            <w:tcW w:w="2126" w:type="dxa"/>
          </w:tcPr>
          <w:p>
            <w:pPr>
              <w:jc w:val="both"/>
              <w:rPr>
                <w:sz w:val="24"/>
                <w:szCs w:val="24"/>
              </w:rPr>
            </w:pPr>
          </w:p>
        </w:tc>
      </w:tr>
    </w:tbl>
    <w:p>
      <w:pPr>
        <w:tabs>
          <w:tab w:val="left" w:pos="993"/>
        </w:tabs>
        <w:spacing w:before="120" w:line="240" w:lineRule="auto"/>
        <w:ind w:firstLine="709"/>
        <w:jc w:val="both"/>
        <w:rPr>
          <w:b/>
          <w:i/>
          <w:szCs w:val="28"/>
        </w:rPr>
      </w:pPr>
      <w:r>
        <w:rPr>
          <w:b/>
          <w:i/>
          <w:szCs w:val="28"/>
        </w:rPr>
        <w:t xml:space="preserve">Ghi chú: </w:t>
      </w:r>
    </w:p>
    <w:p>
      <w:pPr>
        <w:pStyle w:val="18"/>
        <w:numPr>
          <w:ilvl w:val="0"/>
          <w:numId w:val="2"/>
        </w:numPr>
        <w:tabs>
          <w:tab w:val="left" w:pos="993"/>
        </w:tabs>
        <w:spacing w:before="120" w:line="240" w:lineRule="auto"/>
        <w:ind w:left="0" w:firstLine="709"/>
        <w:contextualSpacing w:val="0"/>
        <w:jc w:val="both"/>
        <w:rPr>
          <w:szCs w:val="28"/>
        </w:rPr>
      </w:pPr>
      <w:r>
        <w:rPr>
          <w:szCs w:val="28"/>
        </w:rPr>
        <w:t>(1) Ghi rõ đơn vị được giao nhiệm vụ vào bảng</w:t>
      </w:r>
    </w:p>
    <w:p>
      <w:pPr>
        <w:pStyle w:val="18"/>
        <w:numPr>
          <w:ilvl w:val="0"/>
          <w:numId w:val="2"/>
        </w:numPr>
        <w:tabs>
          <w:tab w:val="left" w:pos="993"/>
        </w:tabs>
        <w:spacing w:before="120" w:line="240" w:lineRule="auto"/>
        <w:ind w:left="0" w:firstLine="709"/>
        <w:contextualSpacing w:val="0"/>
        <w:jc w:val="both"/>
        <w:rPr>
          <w:szCs w:val="28"/>
        </w:rPr>
      </w:pPr>
      <w:r>
        <w:rPr>
          <w:szCs w:val="28"/>
        </w:rPr>
        <w:t>(2) Ghi rõ đơn vị đã đặt hàng vào bảng</w:t>
      </w:r>
    </w:p>
    <w:p>
      <w:pPr>
        <w:pStyle w:val="18"/>
        <w:numPr>
          <w:ilvl w:val="0"/>
          <w:numId w:val="2"/>
        </w:numPr>
        <w:tabs>
          <w:tab w:val="left" w:pos="993"/>
        </w:tabs>
        <w:spacing w:before="120" w:line="240" w:lineRule="auto"/>
        <w:ind w:left="0" w:firstLine="709"/>
        <w:contextualSpacing w:val="0"/>
        <w:jc w:val="both"/>
        <w:rPr>
          <w:szCs w:val="28"/>
        </w:rPr>
      </w:pPr>
      <w:r>
        <w:rPr>
          <w:szCs w:val="28"/>
        </w:rPr>
        <w:t>(3) Ghi rõ đơn vị đã trúng thầu vào bảng</w:t>
      </w:r>
    </w:p>
    <w:p>
      <w:pPr>
        <w:pStyle w:val="18"/>
        <w:numPr>
          <w:ilvl w:val="0"/>
          <w:numId w:val="2"/>
        </w:numPr>
        <w:tabs>
          <w:tab w:val="left" w:pos="993"/>
        </w:tabs>
        <w:spacing w:before="120" w:line="240" w:lineRule="auto"/>
        <w:ind w:left="0" w:firstLine="709"/>
        <w:contextualSpacing w:val="0"/>
        <w:jc w:val="both"/>
        <w:rPr>
          <w:szCs w:val="28"/>
        </w:rPr>
      </w:pPr>
      <w:r>
        <w:rPr>
          <w:szCs w:val="28"/>
        </w:rPr>
        <w:t>Trường hợp không thực hiện được theo 3 phương thức nêu trên thì cho biết lý do.</w:t>
      </w:r>
    </w:p>
    <w:p>
      <w:pPr>
        <w:pStyle w:val="18"/>
        <w:numPr>
          <w:ilvl w:val="0"/>
          <w:numId w:val="1"/>
        </w:numPr>
        <w:tabs>
          <w:tab w:val="left" w:pos="993"/>
        </w:tabs>
        <w:spacing w:before="120" w:line="240" w:lineRule="auto"/>
        <w:ind w:left="0" w:firstLine="709"/>
        <w:contextualSpacing w:val="0"/>
        <w:jc w:val="both"/>
        <w:rPr>
          <w:b/>
          <w:szCs w:val="28"/>
        </w:rPr>
      </w:pPr>
      <w:r>
        <w:rPr>
          <w:b/>
          <w:szCs w:val="28"/>
        </w:rPr>
        <w:t>Góp ý, đánh giá dự thảo Nghị định</w:t>
      </w:r>
    </w:p>
    <w:p>
      <w:pPr>
        <w:pStyle w:val="18"/>
        <w:numPr>
          <w:ilvl w:val="0"/>
          <w:numId w:val="3"/>
        </w:numPr>
        <w:tabs>
          <w:tab w:val="left" w:pos="993"/>
        </w:tabs>
        <w:spacing w:before="120" w:line="240" w:lineRule="auto"/>
        <w:ind w:left="0" w:firstLine="709"/>
        <w:contextualSpacing w:val="0"/>
        <w:jc w:val="both"/>
        <w:rPr>
          <w:szCs w:val="28"/>
        </w:rPr>
      </w:pPr>
      <w:r>
        <w:rPr>
          <w:szCs w:val="28"/>
        </w:rPr>
        <w:t xml:space="preserve">Tổng số người tham gia góp ý: …. người. </w:t>
      </w:r>
    </w:p>
    <w:p>
      <w:pPr>
        <w:pStyle w:val="18"/>
        <w:numPr>
          <w:ilvl w:val="0"/>
          <w:numId w:val="3"/>
        </w:numPr>
        <w:tabs>
          <w:tab w:val="left" w:pos="993"/>
        </w:tabs>
        <w:spacing w:before="120" w:line="240" w:lineRule="auto"/>
        <w:ind w:left="0" w:firstLine="709"/>
        <w:contextualSpacing w:val="0"/>
        <w:jc w:val="both"/>
        <w:rPr>
          <w:szCs w:val="28"/>
        </w:rPr>
      </w:pPr>
      <w:r>
        <w:rPr>
          <w:szCs w:val="28"/>
        </w:rPr>
        <w:t xml:space="preserve">Chia theo đối tượng: </w:t>
      </w:r>
    </w:p>
    <w:p>
      <w:pPr>
        <w:tabs>
          <w:tab w:val="left" w:pos="993"/>
        </w:tabs>
        <w:spacing w:before="120" w:line="240" w:lineRule="auto"/>
        <w:ind w:firstLine="709"/>
        <w:jc w:val="both"/>
        <w:rPr>
          <w:szCs w:val="28"/>
        </w:rPr>
      </w:pPr>
      <w:r>
        <w:rPr>
          <w:szCs w:val="28"/>
        </w:rPr>
        <w:t>+ Giáo viên, CBQL mầm non: … người;</w:t>
      </w:r>
    </w:p>
    <w:p>
      <w:pPr>
        <w:tabs>
          <w:tab w:val="left" w:pos="993"/>
        </w:tabs>
        <w:spacing w:before="120" w:line="240" w:lineRule="auto"/>
        <w:ind w:firstLine="709"/>
        <w:jc w:val="both"/>
        <w:rPr>
          <w:szCs w:val="28"/>
        </w:rPr>
      </w:pPr>
      <w:r>
        <w:rPr>
          <w:szCs w:val="28"/>
        </w:rPr>
        <w:t>+ Giáo viên, CBQL tiểu học: … người;</w:t>
      </w:r>
    </w:p>
    <w:p>
      <w:pPr>
        <w:tabs>
          <w:tab w:val="left" w:pos="993"/>
        </w:tabs>
        <w:spacing w:before="120" w:line="240" w:lineRule="auto"/>
        <w:ind w:firstLine="709"/>
        <w:jc w:val="both"/>
        <w:rPr>
          <w:szCs w:val="28"/>
        </w:rPr>
      </w:pPr>
      <w:r>
        <w:rPr>
          <w:szCs w:val="28"/>
        </w:rPr>
        <w:t>+ Giáo viên, CBQL trung học cơ sở: … người;</w:t>
      </w:r>
    </w:p>
    <w:p>
      <w:pPr>
        <w:tabs>
          <w:tab w:val="left" w:pos="993"/>
        </w:tabs>
        <w:spacing w:before="120" w:line="240" w:lineRule="auto"/>
        <w:ind w:firstLine="709"/>
        <w:jc w:val="both"/>
        <w:rPr>
          <w:szCs w:val="28"/>
        </w:rPr>
      </w:pPr>
      <w:r>
        <w:rPr>
          <w:szCs w:val="28"/>
        </w:rPr>
        <w:t>+ Khác: … người (ghi rõ là đối tượng nào).</w:t>
      </w:r>
    </w:p>
    <w:p>
      <w:pPr>
        <w:pStyle w:val="18"/>
        <w:numPr>
          <w:ilvl w:val="0"/>
          <w:numId w:val="3"/>
        </w:numPr>
        <w:tabs>
          <w:tab w:val="left" w:pos="993"/>
        </w:tabs>
        <w:spacing w:before="120" w:line="240" w:lineRule="auto"/>
        <w:ind w:left="0" w:firstLine="709"/>
        <w:contextualSpacing w:val="0"/>
        <w:jc w:val="both"/>
        <w:rPr>
          <w:szCs w:val="28"/>
        </w:rPr>
      </w:pPr>
      <w:r>
        <w:rPr>
          <w:szCs w:val="28"/>
        </w:rPr>
        <w:t>Nội dung góp ý:</w:t>
      </w:r>
    </w:p>
    <w:tbl>
      <w:tblPr>
        <w:jc w:val="cente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670"/>
        <w:gridCol w:w="3153"/>
        <w:gridCol w:w="845"/>
        <w:gridCol w:w="576"/>
        <w:gridCol w:w="897"/>
        <w:gridCol w:w="9"/>
        <w:gridCol w:w="843"/>
        <w:gridCol w:w="576"/>
        <w:gridCol w:w="897"/>
        <w:gridCol w:w="17"/>
        <w:gridCol w:w="1443"/>
        <w:gridCol w:w="17"/>
      </w:tblGrid>
      <w:tr>
        <w:trPr>
          <w:trHeight w:val="356"/>
          <w:tblHeader/>
        </w:trPr>
        <w:tc>
          <w:tcPr>
            <w:tcW w:w="670" w:type="dxa"/>
            <w:vMerge w:val="restart"/>
          </w:tcPr>
          <w:p>
            <w:pPr>
              <w:jc w:val="center"/>
              <w:rPr>
                <w:rFonts w:cs="Times New Roman"/>
                <w:b/>
                <w:sz w:val="24"/>
                <w:szCs w:val="24"/>
              </w:rPr>
            </w:pPr>
            <w:r>
              <w:rPr>
                <w:rFonts w:cs="Times New Roman"/>
                <w:b/>
                <w:sz w:val="24"/>
                <w:szCs w:val="24"/>
              </w:rPr>
              <w:t>STT</w:t>
            </w:r>
          </w:p>
        </w:tc>
        <w:tc>
          <w:tcPr>
            <w:tcW w:w="3153" w:type="dxa"/>
            <w:vMerge w:val="restart"/>
          </w:tcPr>
          <w:p>
            <w:pPr>
              <w:jc w:val="center"/>
              <w:rPr>
                <w:rFonts w:cs="Times New Roman"/>
                <w:b/>
                <w:sz w:val="24"/>
                <w:szCs w:val="24"/>
              </w:rPr>
            </w:pPr>
            <w:r>
              <w:rPr>
                <w:rFonts w:cs="Times New Roman"/>
                <w:b/>
                <w:sz w:val="24"/>
                <w:szCs w:val="24"/>
              </w:rPr>
              <w:t>Nội dung dự kiến điều chỉnh</w:t>
            </w:r>
          </w:p>
        </w:tc>
        <w:tc>
          <w:tcPr>
            <w:tcW w:w="2327" w:type="dxa"/>
            <w:gridSpan w:val="4"/>
          </w:tcPr>
          <w:p>
            <w:pPr>
              <w:jc w:val="center"/>
              <w:rPr>
                <w:rFonts w:cs="Times New Roman"/>
                <w:b/>
                <w:sz w:val="24"/>
                <w:szCs w:val="24"/>
              </w:rPr>
            </w:pPr>
            <w:r>
              <w:rPr>
                <w:rFonts w:cs="Times New Roman"/>
                <w:b/>
                <w:sz w:val="24"/>
                <w:szCs w:val="24"/>
              </w:rPr>
              <w:t>Số người đồng ý</w:t>
            </w:r>
          </w:p>
        </w:tc>
        <w:tc>
          <w:tcPr>
            <w:tcW w:w="2333" w:type="dxa"/>
            <w:gridSpan w:val="4"/>
          </w:tcPr>
          <w:p>
            <w:pPr>
              <w:jc w:val="center"/>
              <w:rPr>
                <w:rFonts w:cs="Times New Roman"/>
                <w:b/>
                <w:sz w:val="24"/>
                <w:szCs w:val="24"/>
              </w:rPr>
            </w:pPr>
            <w:r>
              <w:rPr>
                <w:rFonts w:cs="Times New Roman"/>
                <w:b/>
                <w:sz w:val="24"/>
                <w:szCs w:val="24"/>
              </w:rPr>
              <w:t>Số người không đồng ý</w:t>
            </w:r>
          </w:p>
        </w:tc>
        <w:tc>
          <w:tcPr>
            <w:tcW w:w="1460" w:type="dxa"/>
            <w:gridSpan w:val="2"/>
          </w:tcPr>
          <w:p>
            <w:pPr>
              <w:jc w:val="center"/>
              <w:rPr>
                <w:rFonts w:cs="Times New Roman"/>
                <w:b/>
                <w:sz w:val="24"/>
                <w:szCs w:val="24"/>
              </w:rPr>
            </w:pPr>
            <w:r>
              <w:rPr>
                <w:rFonts w:cs="Times New Roman"/>
                <w:b/>
                <w:sz w:val="24"/>
                <w:szCs w:val="24"/>
              </w:rPr>
              <w:t>Đề xuất điều chỉnh</w:t>
            </w:r>
          </w:p>
        </w:tc>
      </w:tr>
      <w:tr>
        <w:trPr>
          <w:tblHeader/>
          <w:gridAfter w:val="1"/>
          <w:wAfter w:w="17" w:type="dxa"/>
        </w:trPr>
        <w:tc>
          <w:tcPr>
            <w:tcW w:w="670" w:type="dxa"/>
            <w:vMerge/>
          </w:tcPr>
          <w:p/>
        </w:tc>
        <w:tc>
          <w:tcPr>
            <w:tcW w:w="3153" w:type="dxa"/>
            <w:vMerge/>
          </w:tcPr>
          <w:p/>
        </w:tc>
        <w:tc>
          <w:tcPr>
            <w:tcW w:w="845" w:type="dxa"/>
          </w:tcPr>
          <w:p>
            <w:pPr>
              <w:jc w:val="center"/>
              <w:rPr>
                <w:rFonts w:cs="Times New Roman"/>
                <w:i/>
                <w:sz w:val="24"/>
                <w:szCs w:val="24"/>
              </w:rPr>
            </w:pPr>
            <w:r>
              <w:rPr>
                <w:rFonts w:cs="Times New Roman"/>
                <w:i/>
                <w:sz w:val="24"/>
                <w:szCs w:val="24"/>
              </w:rPr>
              <w:t>Tổng</w:t>
            </w:r>
          </w:p>
        </w:tc>
        <w:tc>
          <w:tcPr>
            <w:tcW w:w="576" w:type="dxa"/>
          </w:tcPr>
          <w:p>
            <w:pPr>
              <w:jc w:val="center"/>
              <w:rPr>
                <w:rFonts w:cs="Times New Roman"/>
                <w:i/>
                <w:sz w:val="24"/>
                <w:szCs w:val="24"/>
              </w:rPr>
            </w:pPr>
            <w:r>
              <w:rPr>
                <w:rFonts w:cs="Times New Roman"/>
                <w:i/>
                <w:sz w:val="24"/>
                <w:szCs w:val="24"/>
              </w:rPr>
              <w:t>GV</w:t>
            </w:r>
          </w:p>
        </w:tc>
        <w:tc>
          <w:tcPr>
            <w:tcW w:w="897" w:type="dxa"/>
          </w:tcPr>
          <w:p>
            <w:pPr>
              <w:jc w:val="center"/>
              <w:rPr>
                <w:rFonts w:cs="Times New Roman"/>
                <w:i/>
                <w:sz w:val="24"/>
                <w:szCs w:val="24"/>
              </w:rPr>
            </w:pPr>
            <w:r>
              <w:rPr>
                <w:rFonts w:cs="Times New Roman"/>
                <w:i/>
                <w:sz w:val="24"/>
                <w:szCs w:val="24"/>
              </w:rPr>
              <w:t>CBQL</w:t>
            </w:r>
          </w:p>
        </w:tc>
        <w:tc>
          <w:tcPr>
            <w:tcW w:w="852" w:type="dxa"/>
            <w:gridSpan w:val="2"/>
          </w:tcPr>
          <w:p>
            <w:pPr>
              <w:jc w:val="center"/>
              <w:rPr>
                <w:rFonts w:cs="Times New Roman"/>
                <w:i/>
                <w:sz w:val="24"/>
                <w:szCs w:val="24"/>
              </w:rPr>
            </w:pPr>
            <w:r>
              <w:rPr>
                <w:rFonts w:cs="Times New Roman"/>
                <w:i/>
                <w:sz w:val="24"/>
                <w:szCs w:val="24"/>
              </w:rPr>
              <w:t>Tổng</w:t>
            </w:r>
          </w:p>
        </w:tc>
        <w:tc>
          <w:tcPr>
            <w:tcW w:w="576" w:type="dxa"/>
          </w:tcPr>
          <w:p>
            <w:pPr>
              <w:jc w:val="center"/>
              <w:rPr>
                <w:rFonts w:cs="Times New Roman"/>
                <w:i/>
                <w:sz w:val="24"/>
                <w:szCs w:val="24"/>
              </w:rPr>
            </w:pPr>
            <w:r>
              <w:rPr>
                <w:rFonts w:cs="Times New Roman"/>
                <w:i/>
                <w:sz w:val="24"/>
                <w:szCs w:val="24"/>
              </w:rPr>
              <w:t>GV</w:t>
            </w:r>
          </w:p>
        </w:tc>
        <w:tc>
          <w:tcPr>
            <w:tcW w:w="897" w:type="dxa"/>
          </w:tcPr>
          <w:p>
            <w:pPr>
              <w:jc w:val="center"/>
              <w:rPr>
                <w:rFonts w:cs="Times New Roman"/>
                <w:i/>
                <w:sz w:val="24"/>
                <w:szCs w:val="24"/>
              </w:rPr>
            </w:pPr>
            <w:r>
              <w:rPr>
                <w:rFonts w:cs="Times New Roman"/>
                <w:i/>
                <w:sz w:val="24"/>
                <w:szCs w:val="24"/>
              </w:rPr>
              <w:t>CBQL</w:t>
            </w:r>
          </w:p>
        </w:tc>
        <w:tc>
          <w:tcPr>
            <w:tcW w:w="1460" w:type="dxa"/>
            <w:gridSpan w:val="2"/>
          </w:tcPr>
          <w:p>
            <w:pPr>
              <w:jc w:val="center"/>
              <w:rPr>
                <w:rFonts w:cs="Times New Roman"/>
                <w:b/>
                <w:sz w:val="24"/>
                <w:szCs w:val="24"/>
              </w:rPr>
            </w:pPr>
          </w:p>
        </w:tc>
      </w:tr>
      <w:tr>
        <w:trPr>
          <w:gridAfter w:val="1"/>
          <w:wAfter w:w="17" w:type="dxa"/>
        </w:trPr>
        <w:tc>
          <w:tcPr>
            <w:tcW w:w="670" w:type="dxa"/>
          </w:tcPr>
          <w:p>
            <w:pPr>
              <w:jc w:val="both"/>
              <w:rPr>
                <w:rFonts w:cs="Times New Roman"/>
                <w:b/>
                <w:sz w:val="24"/>
                <w:szCs w:val="24"/>
              </w:rPr>
            </w:pPr>
            <w:r>
              <w:rPr>
                <w:rFonts w:cs="Times New Roman"/>
                <w:b/>
                <w:sz w:val="24"/>
                <w:szCs w:val="24"/>
              </w:rPr>
              <w:t>1</w:t>
            </w:r>
          </w:p>
        </w:tc>
        <w:tc>
          <w:tcPr>
            <w:tcW w:w="3153" w:type="dxa"/>
          </w:tcPr>
          <w:p>
            <w:pPr>
              <w:jc w:val="both"/>
              <w:rPr>
                <w:rFonts w:cs="Times New Roman"/>
                <w:b/>
                <w:sz w:val="24"/>
                <w:szCs w:val="24"/>
              </w:rPr>
            </w:pPr>
            <w:r>
              <w:rPr>
                <w:rFonts w:cs="Times New Roman"/>
                <w:b/>
                <w:sz w:val="24"/>
                <w:szCs w:val="24"/>
              </w:rPr>
              <w:t>Về phương thức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Bỏ phương thức đấu thầu</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Giữ lại phương thức giao nhiệm vụ, đặt hàng</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 xml:space="preserve">Cho phép giáo viên </w:t>
            </w:r>
            <w:r>
              <w:rPr>
                <w:rFonts w:cs="Times New Roman"/>
                <w:color w:val="000000"/>
                <w:sz w:val="24"/>
                <w:szCs w:val="24"/>
              </w:rPr>
              <w:t>chủ động lựa chọn, đăng ký học nâng trình độ chuẩn trực tiếp với cơ sở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Điều kiện để giáo viên được tự đăng ký đào tạo:</w:t>
            </w:r>
          </w:p>
          <w:p>
            <w:pPr>
              <w:jc w:val="both"/>
              <w:rPr>
                <w:rFonts w:cs="Times New Roman"/>
                <w:color w:val="000000"/>
                <w:sz w:val="24"/>
                <w:szCs w:val="24"/>
              </w:rPr>
            </w:pPr>
            <w:r>
              <w:rPr>
                <w:rFonts w:cs="Times New Roman"/>
                <w:sz w:val="24"/>
                <w:szCs w:val="24"/>
              </w:rPr>
              <w:t xml:space="preserve">- </w:t>
            </w:r>
            <w:r>
              <w:rPr>
                <w:rFonts w:cs="Times New Roman"/>
                <w:color w:val="000000"/>
                <w:sz w:val="24"/>
                <w:szCs w:val="24"/>
              </w:rPr>
              <w:t>Các ngành hoặc chuyên ngành mà giáo viên đăng ký đào tạo không đủ điều kiện mở lớp theo phương thức giao nhiệm vụ hoặc đặt hàng</w:t>
            </w:r>
          </w:p>
          <w:p>
            <w:pPr>
              <w:jc w:val="both"/>
              <w:rPr>
                <w:rFonts w:cs="Times New Roman"/>
                <w:color w:val="000000"/>
                <w:sz w:val="24"/>
                <w:szCs w:val="24"/>
              </w:rPr>
            </w:pPr>
            <w:r>
              <w:rPr>
                <w:rFonts w:cs="Times New Roman"/>
                <w:color w:val="000000"/>
                <w:sz w:val="24"/>
                <w:szCs w:val="24"/>
              </w:rPr>
              <w:t>- Được sự đồng ý bằng văn bản của hiệu trưởng hoặc giám đốc cơ sở giáo dục nơi giáo viên đang công tác. Văn bản đồng ý phải có thông tin về ngành hoặc chuyên ngành đào tạo, cơ sở đào tạo, thời gian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b/>
                <w:sz w:val="24"/>
                <w:szCs w:val="24"/>
              </w:rPr>
            </w:pPr>
            <w:r>
              <w:rPr>
                <w:rFonts w:cs="Times New Roman"/>
                <w:b/>
                <w:sz w:val="24"/>
                <w:szCs w:val="24"/>
              </w:rPr>
              <w:t>2</w:t>
            </w:r>
          </w:p>
        </w:tc>
        <w:tc>
          <w:tcPr>
            <w:tcW w:w="3153" w:type="dxa"/>
          </w:tcPr>
          <w:p>
            <w:pPr>
              <w:jc w:val="both"/>
              <w:rPr>
                <w:rFonts w:cs="Times New Roman"/>
                <w:b/>
                <w:sz w:val="24"/>
                <w:szCs w:val="24"/>
              </w:rPr>
            </w:pPr>
            <w:r>
              <w:rPr>
                <w:rFonts w:cs="Times New Roman"/>
                <w:b/>
                <w:sz w:val="24"/>
                <w:szCs w:val="24"/>
              </w:rPr>
              <w:t>Về kinh phí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Bổ sung rõ đối tượng được hỗ trợ kinh phí đào tạo bao gồm cả giáo viên công lập, dân lập, tư thục thuộc đối tượng nâng trình độ chuẩn được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 xml:space="preserve">Quy định rõ kinh phí hỗ trợ được xác định bằng mức thu học phí của cơ sở đào tạo </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Giáo viên tự đăng ký trực tiếp với cơ sở đào tạo được thanh toán kinh phí đào tạo bằng mức thu học phí theo hóa đơn của cơ sở đào tạo sau khi được cấp bằng tốt nghiệp</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b/>
                <w:sz w:val="24"/>
                <w:szCs w:val="24"/>
              </w:rPr>
            </w:pPr>
            <w:r>
              <w:rPr>
                <w:rFonts w:cs="Times New Roman"/>
                <w:b/>
                <w:sz w:val="24"/>
                <w:szCs w:val="24"/>
              </w:rPr>
              <w:t>3</w:t>
            </w:r>
          </w:p>
        </w:tc>
        <w:tc>
          <w:tcPr>
            <w:tcW w:w="3153" w:type="dxa"/>
          </w:tcPr>
          <w:p>
            <w:pPr>
              <w:jc w:val="both"/>
              <w:rPr>
                <w:rFonts w:cs="Times New Roman"/>
                <w:b/>
                <w:sz w:val="24"/>
                <w:szCs w:val="24"/>
              </w:rPr>
            </w:pPr>
            <w:r>
              <w:rPr>
                <w:rFonts w:cs="Times New Roman"/>
                <w:b/>
                <w:sz w:val="24"/>
                <w:szCs w:val="24"/>
              </w:rPr>
              <w:t>Về quyền của nhà giáo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 xml:space="preserve">Quy định rõ </w:t>
            </w:r>
            <w:bookmarkStart w:id="3" w:name="_Hlk171261262"/>
            <w:r>
              <w:rPr>
                <w:rFonts w:cs="Times New Roman"/>
                <w:bCs/>
                <w:color w:val="000000"/>
                <w:sz w:val="24"/>
                <w:szCs w:val="24"/>
              </w:rPr>
              <w:t>giáo viên tham gia đào tạo nâng trình độ chuẩn</w:t>
            </w:r>
            <w:bookmarkEnd w:id="3"/>
            <w:r>
              <w:rPr>
                <w:rFonts w:cs="Times New Roman"/>
                <w:bCs/>
                <w:color w:val="000000"/>
                <w:sz w:val="24"/>
                <w:szCs w:val="24"/>
              </w:rPr>
              <w:t xml:space="preserve"> được cơ quan quản lý, sử dụng tạo điều kiện tham gia đào tạo nâng trình độ chuẩn</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 xml:space="preserve">Quy định rõ </w:t>
            </w:r>
            <w:r>
              <w:rPr>
                <w:rFonts w:cs="Times New Roman"/>
                <w:bCs/>
                <w:color w:val="000000"/>
                <w:sz w:val="24"/>
                <w:szCs w:val="24"/>
              </w:rPr>
              <w:t>giáo viên tham gia đào tạo nâng trình độ chuẩn đ</w:t>
            </w:r>
            <w:r>
              <w:rPr>
                <w:rFonts w:cs="Times New Roman"/>
                <w:color w:val="000000"/>
                <w:sz w:val="24"/>
                <w:szCs w:val="24"/>
              </w:rPr>
              <w:t>ược thanh toán tiền học phí bằng mức thu học phí của cơ sở đào tạo nơi giáo viên theo học</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b/>
                <w:sz w:val="24"/>
                <w:szCs w:val="24"/>
              </w:rPr>
            </w:pPr>
            <w:r>
              <w:rPr>
                <w:rFonts w:cs="Times New Roman"/>
                <w:b/>
                <w:sz w:val="24"/>
                <w:szCs w:val="24"/>
              </w:rPr>
              <w:t>4</w:t>
            </w:r>
          </w:p>
        </w:tc>
        <w:tc>
          <w:tcPr>
            <w:tcW w:w="3153" w:type="dxa"/>
          </w:tcPr>
          <w:p>
            <w:pPr>
              <w:jc w:val="both"/>
              <w:rPr>
                <w:rFonts w:cs="Times New Roman"/>
                <w:b/>
                <w:sz w:val="24"/>
                <w:szCs w:val="24"/>
              </w:rPr>
            </w:pPr>
            <w:r>
              <w:rPr>
                <w:rFonts w:cs="Times New Roman"/>
                <w:b/>
                <w:sz w:val="24"/>
                <w:szCs w:val="24"/>
              </w:rPr>
              <w:t>Về việc thanh toán cho những giáo viên đã tự túc kinh phí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Những giáo viên mầm non, tiểu học, trung học cơ sở thuộc đối tượng phải thực hiện nâng trình độ chuẩn đã được cấp bằng tốt nghiệp đạt yêu cầu về trình độ chuẩn được đào tạo của cấp học đang giảng dạy kể từ ngày 01 tháng 7 năm 2020 nhưng chưa được cơ quan, đơn vị nào thanh toán học phí đào tạo thì được truy lĩnh, chi trả học phí đào tạo</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Mức tiền được truy lĩnh, chi trả bằng mức thu học phí của cơ sở đào tạo tại thời điểm giáo viên theo học</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sz w:val="24"/>
                <w:szCs w:val="24"/>
              </w:rPr>
            </w:pPr>
          </w:p>
        </w:tc>
        <w:tc>
          <w:tcPr>
            <w:tcW w:w="3153" w:type="dxa"/>
          </w:tcPr>
          <w:p>
            <w:pPr>
              <w:jc w:val="both"/>
              <w:rPr>
                <w:rFonts w:cs="Times New Roman"/>
                <w:sz w:val="24"/>
                <w:szCs w:val="24"/>
              </w:rPr>
            </w:pPr>
            <w:r>
              <w:rPr>
                <w:rFonts w:cs="Times New Roman"/>
                <w:sz w:val="24"/>
                <w:szCs w:val="24"/>
              </w:rPr>
              <w:t>Cơ quan, đơn vị có thẩm quyền thanh toán kinh phí đào tạo hướng dẫn cụ thể danh mục chứng từ giáo viên cần cung cấp để được thanh toán</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jc w:val="both"/>
              <w:rPr>
                <w:rFonts w:cs="Times New Roman"/>
                <w:b/>
                <w:sz w:val="24"/>
                <w:szCs w:val="24"/>
              </w:rPr>
            </w:pPr>
            <w:r>
              <w:rPr>
                <w:rFonts w:cs="Times New Roman"/>
                <w:b/>
                <w:sz w:val="24"/>
                <w:szCs w:val="24"/>
              </w:rPr>
              <w:t>5</w:t>
            </w:r>
          </w:p>
        </w:tc>
        <w:tc>
          <w:tcPr>
            <w:tcW w:w="3153" w:type="dxa"/>
          </w:tcPr>
          <w:p>
            <w:pPr>
              <w:jc w:val="both"/>
              <w:rPr>
                <w:rFonts w:cs="Times New Roman"/>
                <w:b/>
                <w:sz w:val="24"/>
                <w:szCs w:val="24"/>
              </w:rPr>
            </w:pPr>
            <w:r>
              <w:rPr>
                <w:rFonts w:cs="Times New Roman"/>
                <w:b/>
                <w:sz w:val="24"/>
                <w:szCs w:val="24"/>
              </w:rPr>
              <w:t>Về việc chi trả kinh phí hỗ trợ cho giáo viên mầm non theo Nghị định số 105/2020/NĐ-CP</w:t>
            </w:r>
          </w:p>
        </w:tc>
        <w:tc>
          <w:tcPr>
            <w:tcW w:w="845" w:type="dxa"/>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852" w:type="dxa"/>
            <w:gridSpan w:val="2"/>
          </w:tcPr>
          <w:p>
            <w:pPr>
              <w:jc w:val="both"/>
              <w:rPr>
                <w:rFonts w:cs="Times New Roman"/>
                <w:sz w:val="24"/>
                <w:szCs w:val="24"/>
              </w:rPr>
            </w:pPr>
          </w:p>
        </w:tc>
        <w:tc>
          <w:tcPr>
            <w:tcW w:w="576" w:type="dxa"/>
          </w:tcPr>
          <w:p>
            <w:pPr>
              <w:jc w:val="both"/>
              <w:rPr>
                <w:rFonts w:cs="Times New Roman"/>
                <w:sz w:val="24"/>
                <w:szCs w:val="24"/>
              </w:rPr>
            </w:pPr>
          </w:p>
        </w:tc>
        <w:tc>
          <w:tcPr>
            <w:tcW w:w="897" w:type="dxa"/>
          </w:tcPr>
          <w:p>
            <w:pPr>
              <w:jc w:val="both"/>
              <w:rPr>
                <w:rFonts w:cs="Times New Roman"/>
                <w:sz w:val="24"/>
                <w:szCs w:val="24"/>
              </w:rPr>
            </w:pPr>
          </w:p>
        </w:tc>
        <w:tc>
          <w:tcPr>
            <w:tcW w:w="1460" w:type="dxa"/>
            <w:gridSpan w:val="2"/>
          </w:tcPr>
          <w:p>
            <w:pPr>
              <w:jc w:val="both"/>
              <w:rPr>
                <w:rFonts w:cs="Times New Roman"/>
                <w:sz w:val="24"/>
                <w:szCs w:val="24"/>
              </w:rPr>
            </w:pPr>
          </w:p>
        </w:tc>
      </w:tr>
      <w:tr>
        <w:trPr>
          <w:gridAfter w:val="1"/>
          <w:wAfter w:w="17" w:type="dxa"/>
        </w:trPr>
        <w:tc>
          <w:tcPr>
            <w:tcW w:w="670" w:type="dxa"/>
          </w:tcPr>
          <w:p>
            <w:pPr>
              <w:tabs>
                <w:tab w:val="left" w:pos="993"/>
              </w:tabs>
              <w:ind w:firstLine="709"/>
              <w:jc w:val="both"/>
              <w:rPr>
                <w:rFonts w:cs="Times New Roman"/>
                <w:sz w:val="24"/>
                <w:szCs w:val="24"/>
              </w:rPr>
            </w:pPr>
          </w:p>
        </w:tc>
        <w:tc>
          <w:tcPr>
            <w:tcW w:w="3153" w:type="dxa"/>
          </w:tcPr>
          <w:p>
            <w:pPr>
              <w:tabs>
                <w:tab w:val="left" w:pos="993"/>
              </w:tabs>
              <w:ind w:firstLine="709"/>
              <w:jc w:val="both"/>
              <w:rPr>
                <w:rFonts w:cs="Times New Roman"/>
                <w:sz w:val="24"/>
                <w:szCs w:val="24"/>
              </w:rPr>
            </w:pPr>
            <w:bookmarkStart w:id="4" w:name="_Hlk171261064"/>
            <w:r>
              <w:rPr>
                <w:rFonts w:cs="Times New Roman"/>
                <w:sz w:val="24"/>
                <w:szCs w:val="24"/>
              </w:rPr>
              <w:t xml:space="preserve">Trong thời gian thực hiện lộ trình nâng trình độ chuẩn được đào tạo, </w:t>
            </w:r>
            <w:bookmarkStart w:id="5" w:name="dieu_10"/>
            <w:r>
              <w:rPr>
                <w:rFonts w:cs="Times New Roman"/>
                <w:sz w:val="24"/>
                <w:szCs w:val="24"/>
              </w:rPr>
              <w:t>những giáo viên chưa đạt trình độ chuẩn được đào tạo của giáo viên mầm non theo quy định tại điểm a khoản 1 Điều 72 Luật Giáo dục 2019, làm việc tại cơ sở giáo dục mầm non dân lập, tư thục ở địa bàn có khu công nghiệp</w:t>
            </w:r>
            <w:bookmarkEnd w:id="5"/>
            <w:r>
              <w:rPr>
                <w:rFonts w:cs="Times New Roman"/>
                <w:sz w:val="24"/>
                <w:szCs w:val="24"/>
              </w:rPr>
              <w:t xml:space="preserve"> được hưởng chính sách theo quy định tại Điều 10 Nghị định số 105/2020/NĐ-CP</w:t>
            </w:r>
            <w:bookmarkEnd w:id="4"/>
            <w:r>
              <w:rPr>
                <w:rFonts w:cs="Times New Roman"/>
                <w:sz w:val="24"/>
                <w:szCs w:val="24"/>
              </w:rPr>
              <w:t xml:space="preserve"> ngày 08 tháng 9 năm 2020 của Chính phủ quy định chính sách phát triển giáo dục mầm non.</w:t>
            </w:r>
          </w:p>
        </w:tc>
        <w:tc>
          <w:tcPr>
            <w:tcW w:w="845" w:type="dxa"/>
          </w:tcPr>
          <w:p>
            <w:pPr>
              <w:tabs>
                <w:tab w:val="left" w:pos="993"/>
              </w:tabs>
              <w:ind w:firstLine="709"/>
              <w:jc w:val="both"/>
              <w:rPr>
                <w:rFonts w:cs="Times New Roman"/>
                <w:sz w:val="24"/>
                <w:szCs w:val="24"/>
              </w:rPr>
            </w:pPr>
          </w:p>
        </w:tc>
        <w:tc>
          <w:tcPr>
            <w:tcW w:w="576" w:type="dxa"/>
          </w:tcPr>
          <w:p>
            <w:pPr>
              <w:tabs>
                <w:tab w:val="left" w:pos="993"/>
              </w:tabs>
              <w:ind w:firstLine="709"/>
              <w:jc w:val="both"/>
              <w:rPr>
                <w:rFonts w:cs="Times New Roman"/>
                <w:sz w:val="24"/>
                <w:szCs w:val="24"/>
              </w:rPr>
            </w:pPr>
          </w:p>
        </w:tc>
        <w:tc>
          <w:tcPr>
            <w:tcW w:w="897" w:type="dxa"/>
          </w:tcPr>
          <w:p>
            <w:pPr>
              <w:tabs>
                <w:tab w:val="left" w:pos="993"/>
              </w:tabs>
              <w:ind w:firstLine="709"/>
              <w:jc w:val="both"/>
              <w:rPr>
                <w:rFonts w:cs="Times New Roman"/>
                <w:sz w:val="24"/>
                <w:szCs w:val="24"/>
              </w:rPr>
            </w:pPr>
          </w:p>
        </w:tc>
        <w:tc>
          <w:tcPr>
            <w:tcW w:w="852" w:type="dxa"/>
            <w:gridSpan w:val="2"/>
          </w:tcPr>
          <w:p>
            <w:pPr>
              <w:tabs>
                <w:tab w:val="left" w:pos="993"/>
              </w:tabs>
              <w:ind w:firstLine="709"/>
              <w:jc w:val="both"/>
              <w:rPr>
                <w:rFonts w:cs="Times New Roman"/>
                <w:sz w:val="24"/>
                <w:szCs w:val="24"/>
              </w:rPr>
            </w:pPr>
          </w:p>
        </w:tc>
        <w:tc>
          <w:tcPr>
            <w:tcW w:w="576" w:type="dxa"/>
          </w:tcPr>
          <w:p>
            <w:pPr>
              <w:tabs>
                <w:tab w:val="left" w:pos="993"/>
              </w:tabs>
              <w:ind w:firstLine="709"/>
              <w:jc w:val="both"/>
              <w:rPr>
                <w:rFonts w:cs="Times New Roman"/>
                <w:sz w:val="24"/>
                <w:szCs w:val="24"/>
              </w:rPr>
            </w:pPr>
          </w:p>
        </w:tc>
        <w:tc>
          <w:tcPr>
            <w:tcW w:w="897" w:type="dxa"/>
          </w:tcPr>
          <w:p>
            <w:pPr>
              <w:tabs>
                <w:tab w:val="left" w:pos="993"/>
              </w:tabs>
              <w:ind w:firstLine="709"/>
              <w:jc w:val="both"/>
              <w:rPr>
                <w:rFonts w:cs="Times New Roman"/>
                <w:sz w:val="24"/>
                <w:szCs w:val="24"/>
              </w:rPr>
            </w:pPr>
          </w:p>
        </w:tc>
        <w:tc>
          <w:tcPr>
            <w:tcW w:w="1460" w:type="dxa"/>
            <w:gridSpan w:val="2"/>
          </w:tcPr>
          <w:p>
            <w:pPr>
              <w:tabs>
                <w:tab w:val="left" w:pos="993"/>
              </w:tabs>
              <w:ind w:firstLine="709"/>
              <w:jc w:val="both"/>
              <w:rPr>
                <w:rFonts w:cs="Times New Roman"/>
                <w:sz w:val="24"/>
                <w:szCs w:val="24"/>
              </w:rPr>
            </w:pPr>
          </w:p>
        </w:tc>
      </w:tr>
    </w:tbl>
    <w:p>
      <w:pPr>
        <w:pStyle w:val="18"/>
        <w:numPr>
          <w:ilvl w:val="0"/>
          <w:numId w:val="3"/>
        </w:numPr>
        <w:tabs>
          <w:tab w:val="left" w:pos="993"/>
        </w:tabs>
        <w:spacing w:before="120" w:line="240" w:lineRule="auto"/>
        <w:ind w:left="0" w:firstLine="709"/>
        <w:contextualSpacing w:val="0"/>
        <w:jc w:val="both"/>
        <w:rPr>
          <w:szCs w:val="28"/>
        </w:rPr>
      </w:pPr>
      <w:r>
        <w:rPr>
          <w:szCs w:val="28"/>
        </w:rPr>
        <w:t>Trường hợp điều chỉnh phương thức đào tạo nâng trình độ chuẩn như dự thảo Nghị định thì địa phương sẽ lựa chọn phương thức nào? Vì sao?</w:t>
      </w:r>
    </w:p>
    <w:p>
      <w:pPr>
        <w:pStyle w:val="18"/>
        <w:numPr>
          <w:ilvl w:val="0"/>
          <w:numId w:val="3"/>
        </w:numPr>
        <w:tabs>
          <w:tab w:val="left" w:pos="993"/>
        </w:tabs>
        <w:spacing w:before="120" w:line="240" w:lineRule="auto"/>
        <w:ind w:left="0" w:firstLine="709"/>
        <w:contextualSpacing w:val="0"/>
        <w:jc w:val="both"/>
        <w:rPr>
          <w:szCs w:val="28"/>
        </w:rPr>
      </w:pPr>
      <w:r>
        <w:rPr>
          <w:szCs w:val="28"/>
        </w:rPr>
        <w:t>Trường hợp thực hiện quy định tại khoản 2 Điều 2 dự thảo Nghị định thì sẽ có bao nhiêu giáo viên được chi trả? Số tiền dự tính cần chi trả? Khả năng đáp ứng của địa phương? Trường hợp có khó khăn, đề nghị nêu rõ lý do và đề xuất của địa phương?</w:t>
      </w:r>
    </w:p>
    <w:p>
      <w:pPr>
        <w:pStyle w:val="18"/>
        <w:numPr>
          <w:ilvl w:val="0"/>
          <w:numId w:val="3"/>
        </w:numPr>
        <w:tabs>
          <w:tab w:val="left" w:pos="993"/>
        </w:tabs>
        <w:spacing w:before="120" w:line="240" w:lineRule="auto"/>
        <w:ind w:left="0" w:firstLine="709"/>
        <w:contextualSpacing w:val="0"/>
        <w:jc w:val="both"/>
        <w:rPr>
          <w:szCs w:val="28"/>
        </w:rPr>
      </w:pPr>
      <w:r>
        <w:rPr>
          <w:szCs w:val="28"/>
        </w:rPr>
        <w:t>Trường hợp thực hiện quy định tại khoản 3 Điều 2 dự thảo Nghị định thì sẽ có bao nhiêu giáo viên mầm non dân lập, tư thục ở địa bàn có khu công nghiệp được hưởng chính sách? Số tiền dự tính sẽ chi trả trong 01 tháng? Khả năng đáp ứng của địa phương? Trường hợp có khó khăn, đề nghị nêu rõ lý do và đề xuất của địa phương?</w:t>
      </w:r>
    </w:p>
    <w:p>
      <w:pPr>
        <w:pStyle w:val="18"/>
        <w:numPr>
          <w:ilvl w:val="0"/>
          <w:numId w:val="3"/>
        </w:numPr>
        <w:tabs>
          <w:tab w:val="left" w:pos="993"/>
        </w:tabs>
        <w:spacing w:before="120" w:line="240" w:lineRule="auto"/>
        <w:ind w:left="0" w:firstLine="709"/>
        <w:contextualSpacing w:val="0"/>
        <w:jc w:val="both"/>
        <w:rPr>
          <w:szCs w:val="28"/>
        </w:rPr>
      </w:pPr>
      <w:r>
        <w:rPr>
          <w:szCs w:val="28"/>
        </w:rPr>
        <w:t>Ý kiến góp ý khác (nếu có):</w:t>
      </w:r>
    </w:p>
    <w:p>
      <w:pPr>
        <w:tabs>
          <w:tab w:val="left" w:leader="dot" w:pos="9072"/>
          <w:tab w:val="center" w:leader="dot" w:pos="14572"/>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pStyle w:val="18"/>
        <w:numPr>
          <w:ilvl w:val="0"/>
          <w:numId w:val="1"/>
        </w:numPr>
        <w:tabs>
          <w:tab w:val="left" w:leader="dot" w:pos="9072"/>
          <w:tab w:val="center" w:leader="dot" w:pos="14459"/>
        </w:tabs>
        <w:spacing w:after="0" w:line="240" w:lineRule="auto"/>
        <w:jc w:val="both"/>
        <w:rPr>
          <w:b/>
          <w:szCs w:val="28"/>
        </w:rPr>
      </w:pPr>
      <w:r>
        <w:rPr>
          <w:b/>
          <w:szCs w:val="28"/>
        </w:rPr>
        <w:t>Góp ý dự thảo Tờ trình Chính phủ</w:t>
      </w:r>
    </w:p>
    <w:p>
      <w:pPr>
        <w:tabs>
          <w:tab w:val="left" w:leader="dot" w:pos="9072"/>
          <w:tab w:val="center" w:leader="dot" w:pos="14572"/>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pPr>
      <w:r>
        <w:rPr>
          <w:szCs w:val="28"/>
        </w:rPr>
        <w:tab/>
      </w:r>
    </w:p>
    <w:p>
      <w:pPr>
        <w:tabs>
          <w:tab w:val="left" w:leader="dot" w:pos="9072"/>
          <w:tab w:val="center" w:leader="dot" w:pos="14459"/>
        </w:tabs>
        <w:spacing w:after="0" w:line="240" w:lineRule="auto"/>
        <w:jc w:val="both"/>
        <w:rPr>
          <w:szCs w:val="28"/>
        </w:rPr>
        <w:sectPr>
          <w:footnotePr/>
          <w:pgSz w:w="11907" w:h="16840"/>
          <w:pgMar w:top="1134" w:right="1134" w:bottom="567" w:left="1701" w:header="720" w:footer="510" w:gutter="0"/>
          <w:docGrid w:linePitch="381" w:charSpace="0"/>
        </w:sectPr>
      </w:pPr>
    </w:p>
    <w:p>
      <w:pPr>
        <w:spacing w:line="240" w:lineRule="auto"/>
        <w:rPr>
          <w:szCs w:val="28"/>
        </w:rPr>
      </w:pPr>
    </w:p>
    <w:sectPr>
      <w:pgSz w:w="16840" w:h="11907" w:orient="landscape"/>
      <w:pgMar w:top="851" w:right="1134" w:bottom="851" w:left="1134" w:header="720" w:footer="510" w:gutter="0"/>
      <w:docGrid w:linePitch="381"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SimHei">
    <w:panose1 w:val="00000000000000000000"/>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Style w:val="15"/>
      </w:pPr>
      <w:r>
        <w:rPr>
          <w:rStyle w:val="16"/>
        </w:rPr>
        <w:footnoteRef/>
      </w:r>
      <w:r>
        <w:t xml:space="preserve"> https://chinhphu.vn/du-thao-vbqppl/du-thao-nghi-dinh-sua-doi-bo-sung-mot-so-dieu-cua-nghi-dinh-so-71-2020-nd-cp-ngay-30-thang-6-nam-6746</w:t>
      </w:r>
    </w:p>
  </w:footnote>
  <w:footnote w:id="3">
    <w:p>
      <w:pPr>
        <w:pStyle w:val="15"/>
      </w:pPr>
      <w:r>
        <w:rPr>
          <w:rStyle w:val="16"/>
        </w:rPr>
        <w:footnoteRef/>
      </w:r>
      <w:r>
        <w:t xml:space="preserve"> Bao gồm cả những giáo viên đã tự túc đi đào tạo nâng trình độ chuẩn.</w:t>
      </w:r>
    </w:p>
  </w:footnote>
</w:footnote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BF44BDA"/>
    <w:multiLevelType w:val="hybridMultilevel"/>
    <w:tmpl w:val="A6EC27D4"/>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FDA2353"/>
    <w:multiLevelType w:val="hybridMultilevel"/>
    <w:tmpl w:val="B314AB2E"/>
    <w:lvl w:ilvl="0">
      <w:start w:val="1"/>
      <w:numFmt w:val="bullet"/>
      <w:lvlRestart w:val="0"/>
      <w:lvlText w:val="-"/>
      <w:lvlJc w:val="left"/>
      <w:pPr>
        <w:tabs>
          <w:tab w:val="num" w:pos="0"/>
        </w:tabs>
        <w:ind w:left="720" w:hanging="360"/>
      </w:pPr>
      <w:rPr>
        <w:rFonts w:ascii="Times New Roman" w:hAnsi="Times New Roman" w:eastAsia="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4A402F1B"/>
    <w:multiLevelType w:val="hybridMultilevel"/>
    <w:tmpl w:val="54048ED8"/>
    <w:lvl w:ilvl="0">
      <w:start w:val="2"/>
      <w:numFmt w:val="bullet"/>
      <w:lvlRestart w:val="0"/>
      <w:lvlText w:val="-"/>
      <w:lvlJc w:val="left"/>
      <w:pPr>
        <w:tabs>
          <w:tab w:val="num" w:pos="0"/>
        </w:tabs>
        <w:ind w:left="720" w:hanging="360"/>
      </w:pPr>
      <w:rPr>
        <w:rFonts w:ascii="Times New Roman" w:hAnsi="Times New Roman" w:eastAsia="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05"/>
  <w:bordersDoNotSurroundHeader/>
  <w:bordersDoNotSurroundFooter/>
  <w:defaultTabStop w:val="720"/>
  <w:drawingGridHorizontalSpacing w:val="140"/>
  <w:drawingGridVerticalSpacing w:val="381"/>
  <w:displayHorizontalDrawingGridEvery w:val="2"/>
  <w:displayVerticalDrawingGridEvery w:val="1"/>
  <w:savePreviewPicture/>
  <w:footnotePr>
    <w:footnote w:id="0"/>
    <w:footnote w:id="1"/>
  </w:footnotePr>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20" w:line="360" w:lineRule="auto"/>
    </w:pPr>
    <w:rPr>
      <w:rFonts w:ascii="Times New Roman" w:eastAsia="Calibri" w:cs="Arial" w:hAnsi="Times New Roman"/>
      <w:sz w:val="28"/>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SimHei"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note text"/>
    <w:basedOn w:val="0"/>
    <w:pPr>
      <w:spacing w:after="0" w:line="240" w:lineRule="auto"/>
    </w:pPr>
    <w:rPr>
      <w:sz w:val="20"/>
      <w:szCs w:val="20"/>
    </w:rPr>
  </w:style>
  <w:style w:type="character" w:styleId="16">
    <w:name w:val="footnote reference"/>
    <w:basedOn w:val="10"/>
    <w:rPr>
      <w:vertAlign w:val="superscript"/>
    </w:rPr>
  </w:style>
  <w:style w:type="character" w:styleId="17">
    <w:name w:val="Hyperlink"/>
    <w:basedOn w:val="10"/>
    <w:rPr>
      <w:color w:val="0563C1"/>
      <w:u w:val="single"/>
    </w:rPr>
  </w:style>
  <w:style w:type="paragraph" w:customStyle="1" w:styleId="18">
    <w:name w:val="List Paragraph"/>
    <w:basedOn w:val="0"/>
    <w:pPr>
      <w:ind w:left="720"/>
      <w:contextualSpacing/>
    </w:pPr>
  </w:style>
  <w:style w:type="character" w:customStyle="1" w:styleId="19">
    <w:name w:val="Unresolved Mention1"/>
    <w:basedOn w:val="10"/>
    <w:rPr>
      <w:color w:val="605E5C"/>
      <w:shd w:val="clear" w:color="auto" w:fill="E1DFDD"/>
    </w:rPr>
  </w:style>
  <w:style w:type="paragraph" w:styleId="20">
    <w:name w:val="Balloon Text"/>
    <w:basedOn w:val="0"/>
    <w:pPr>
      <w:spacing w:after="0" w:line="240" w:lineRule="auto"/>
    </w:pPr>
    <w:rPr>
      <w:rFonts w:ascii="Segoe UI" w:cs="Segoe UI" w:hAnsi="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338</TotalTime>
  <Application>Yozo_Office</Application>
  <Pages>9</Pages>
  <Words>1640</Words>
  <Characters>5734</Characters>
  <Lines>434</Lines>
  <Paragraphs>117</Paragraphs>
  <CharactersWithSpaces>7291</CharactersWithSpaces>
  <Company>HP</Company>
</Properties>
</file>

<file path=docProps/core.xml><?xml version="1.0" encoding="utf-8"?>
<cp:coreProperties xmlns:cp="http://schemas.openxmlformats.org/package/2006/metadata/core-properties" xmlns:dc="http://purl.org/dc/elements/1.1/" xmlns:dcterms="http://purl.org/dc/terms/" xmlns:xsi="http://www.w3.org/2001/XMLSchema-instance">
  <dc:creator>BGD</dc:creator>
  <cp:lastModifiedBy>Người dùng vivo</cp:lastModifiedBy>
  <cp:revision>18</cp:revision>
  <cp:lastPrinted>2024-08-05T01:16:00Z</cp:lastPrinted>
  <dcterms:created xsi:type="dcterms:W3CDTF">2024-03-06T03:31:00Z</dcterms:created>
  <dcterms:modified xsi:type="dcterms:W3CDTF">2024-08-05T08:04:16Z</dcterms:modified>
</cp:coreProperties>
</file>